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7FD8A">
      <w:pPr>
        <w:widowControl/>
        <w:spacing w:line="375" w:lineRule="atLeast"/>
        <w:jc w:val="left"/>
        <w:rPr>
          <w:rFonts w:hint="eastAsia" w:ascii="微软雅黑" w:hAnsi="微软雅黑" w:eastAsia="微软雅黑" w:cs="宋体"/>
          <w:color w:val="auto"/>
          <w:kern w:val="0"/>
          <w:sz w:val="24"/>
          <w:szCs w:val="24"/>
        </w:rPr>
      </w:pPr>
    </w:p>
    <w:p w14:paraId="5E3068EE">
      <w:pPr>
        <w:widowControl/>
        <w:spacing w:line="375" w:lineRule="atLeast"/>
        <w:jc w:val="center"/>
        <w:rPr>
          <w:rFonts w:hint="eastAsia" w:ascii="微软雅黑" w:hAnsi="微软雅黑" w:eastAsia="微软雅黑" w:cs="宋体"/>
          <w:color w:val="auto"/>
          <w:kern w:val="0"/>
          <w:sz w:val="24"/>
          <w:szCs w:val="24"/>
        </w:rPr>
      </w:pPr>
      <w:r>
        <w:rPr>
          <w:rFonts w:hint="eastAsia" w:ascii="方正小标宋简体" w:hAnsi="微软雅黑" w:eastAsia="方正小标宋简体" w:cs="宋体"/>
          <w:b/>
          <w:bCs/>
          <w:color w:val="auto"/>
          <w:kern w:val="0"/>
          <w:sz w:val="36"/>
          <w:szCs w:val="36"/>
        </w:rPr>
        <w:t>杭州师范大学人文学院</w:t>
      </w:r>
    </w:p>
    <w:p w14:paraId="60A61108">
      <w:pPr>
        <w:widowControl/>
        <w:spacing w:line="375" w:lineRule="atLeast"/>
        <w:jc w:val="center"/>
        <w:rPr>
          <w:rFonts w:hint="eastAsia" w:ascii="方正小标宋简体" w:hAnsi="微软雅黑" w:eastAsia="方正小标宋简体" w:cs="宋体"/>
          <w:b/>
          <w:bCs/>
          <w:color w:val="auto"/>
          <w:kern w:val="0"/>
          <w:sz w:val="36"/>
          <w:szCs w:val="36"/>
        </w:rPr>
      </w:pPr>
      <w:r>
        <w:rPr>
          <w:rFonts w:hint="eastAsia" w:ascii="方正小标宋简体" w:hAnsi="微软雅黑" w:eastAsia="方正小标宋简体" w:cs="宋体"/>
          <w:b/>
          <w:bCs/>
          <w:color w:val="auto"/>
          <w:kern w:val="0"/>
          <w:sz w:val="36"/>
          <w:szCs w:val="36"/>
        </w:rPr>
        <w:t>推荐优秀应届本科毕业生免试攻读研究生</w:t>
      </w:r>
    </w:p>
    <w:p w14:paraId="68F4CCAB">
      <w:pPr>
        <w:widowControl/>
        <w:spacing w:line="375" w:lineRule="atLeast"/>
        <w:jc w:val="center"/>
        <w:rPr>
          <w:rFonts w:hint="eastAsia" w:ascii="微软雅黑" w:hAnsi="微软雅黑" w:eastAsia="微软雅黑" w:cs="宋体"/>
          <w:color w:val="auto"/>
          <w:kern w:val="0"/>
          <w:sz w:val="24"/>
          <w:szCs w:val="24"/>
        </w:rPr>
      </w:pPr>
      <w:r>
        <w:rPr>
          <w:rFonts w:hint="eastAsia" w:ascii="方正小标宋简体" w:hAnsi="微软雅黑" w:eastAsia="方正小标宋简体" w:cs="宋体"/>
          <w:b/>
          <w:bCs/>
          <w:color w:val="auto"/>
          <w:kern w:val="0"/>
          <w:sz w:val="36"/>
          <w:szCs w:val="36"/>
        </w:rPr>
        <w:t>实施细则</w:t>
      </w:r>
    </w:p>
    <w:p w14:paraId="24A3B0DD">
      <w:pPr>
        <w:widowControl/>
        <w:spacing w:line="375" w:lineRule="atLeast"/>
        <w:jc w:val="center"/>
        <w:rPr>
          <w:rFonts w:hint="eastAsia" w:ascii="微软雅黑" w:hAnsi="微软雅黑" w:eastAsia="微软雅黑" w:cs="宋体"/>
          <w:color w:val="auto"/>
          <w:kern w:val="0"/>
          <w:sz w:val="22"/>
          <w:szCs w:val="22"/>
        </w:rPr>
      </w:pPr>
      <w:bookmarkStart w:id="0" w:name="_GoBack"/>
      <w:bookmarkEnd w:id="0"/>
    </w:p>
    <w:p w14:paraId="5EAE4553">
      <w:pPr>
        <w:widowControl/>
        <w:spacing w:line="375" w:lineRule="atLeast"/>
        <w:ind w:firstLine="645"/>
        <w:jc w:val="both"/>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为进一步提高我院推荐优秀应届本科毕业生免试攻读研究生工作的规范化和科学化水平，保证人才遴选质量，激励学生勤奋学习、勇于创新、全面发展，根据《杭州师范大学关于推荐优秀应届本科毕业生免试攻读研究生工作实施办法的通知》（杭师大学〔2022〕36 号</w:t>
      </w:r>
      <w:r>
        <w:rPr>
          <w:rFonts w:ascii="宋体" w:hAnsi="宋体" w:eastAsia="宋体" w:cs="宋体"/>
          <w:color w:val="auto"/>
          <w:sz w:val="24"/>
          <w:szCs w:val="24"/>
        </w:rPr>
        <w:t xml:space="preserve"> </w:t>
      </w:r>
      <w:r>
        <w:rPr>
          <w:rFonts w:hint="eastAsia" w:ascii="仿宋" w:hAnsi="仿宋" w:eastAsia="仿宋" w:cs="宋体"/>
          <w:color w:val="auto"/>
          <w:kern w:val="0"/>
          <w:sz w:val="32"/>
          <w:szCs w:val="32"/>
        </w:rPr>
        <w:t>）等文件精神，结合学院实际，制定本办法。</w:t>
      </w:r>
    </w:p>
    <w:p w14:paraId="43A62C2B">
      <w:pPr>
        <w:widowControl/>
        <w:spacing w:line="375" w:lineRule="atLeast"/>
        <w:ind w:firstLine="645"/>
        <w:jc w:val="both"/>
        <w:rPr>
          <w:rFonts w:hint="eastAsia" w:ascii="微软雅黑" w:hAnsi="微软雅黑" w:eastAsia="微软雅黑" w:cs="宋体"/>
          <w:color w:val="auto"/>
          <w:kern w:val="0"/>
          <w:sz w:val="24"/>
          <w:szCs w:val="24"/>
        </w:rPr>
      </w:pPr>
      <w:r>
        <w:rPr>
          <w:rFonts w:hint="eastAsia" w:ascii="黑体" w:hAnsi="黑体" w:eastAsia="黑体" w:cs="宋体"/>
          <w:b/>
          <w:bCs/>
          <w:color w:val="auto"/>
          <w:kern w:val="0"/>
          <w:sz w:val="32"/>
          <w:szCs w:val="32"/>
        </w:rPr>
        <w:t>一、推免对象</w:t>
      </w:r>
    </w:p>
    <w:p w14:paraId="4FA2A8D8">
      <w:pPr>
        <w:widowControl/>
        <w:spacing w:line="375" w:lineRule="atLeast"/>
        <w:jc w:val="both"/>
        <w:rPr>
          <w:rFonts w:hint="eastAsia" w:ascii="微软雅黑" w:hAnsi="微软雅黑" w:eastAsia="微软雅黑" w:cs="宋体"/>
          <w:color w:val="auto"/>
          <w:kern w:val="0"/>
          <w:sz w:val="24"/>
          <w:szCs w:val="24"/>
        </w:rPr>
      </w:pP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lang w:val="en-US" w:eastAsia="zh-CN"/>
        </w:rPr>
        <w:t xml:space="preserve"> </w:t>
      </w:r>
      <w:r>
        <w:rPr>
          <w:rFonts w:hint="eastAsia" w:ascii="仿宋" w:hAnsi="仿宋" w:eastAsia="仿宋" w:cs="宋体"/>
          <w:color w:val="auto"/>
          <w:kern w:val="0"/>
          <w:sz w:val="32"/>
          <w:szCs w:val="32"/>
        </w:rPr>
        <w:t>国家普通本科招生计划录取的本院应届本科毕业生（不含专升本和第二学士学位学生）。</w:t>
      </w:r>
    </w:p>
    <w:p w14:paraId="40A948FA">
      <w:pPr>
        <w:widowControl/>
        <w:numPr>
          <w:ilvl w:val="0"/>
          <w:numId w:val="1"/>
        </w:numPr>
        <w:spacing w:line="375" w:lineRule="atLeast"/>
        <w:ind w:firstLine="645"/>
        <w:jc w:val="both"/>
        <w:rPr>
          <w:rFonts w:hint="eastAsia" w:ascii="黑体" w:hAnsi="黑体" w:eastAsia="黑体" w:cs="宋体"/>
          <w:b/>
          <w:bCs/>
          <w:color w:val="auto"/>
          <w:kern w:val="0"/>
          <w:sz w:val="32"/>
          <w:szCs w:val="32"/>
        </w:rPr>
      </w:pPr>
      <w:r>
        <w:rPr>
          <w:rFonts w:hint="eastAsia" w:ascii="黑体" w:hAnsi="黑体" w:eastAsia="黑体" w:cs="宋体"/>
          <w:b/>
          <w:bCs/>
          <w:color w:val="auto"/>
          <w:kern w:val="0"/>
          <w:sz w:val="32"/>
          <w:szCs w:val="32"/>
        </w:rPr>
        <w:t>推免条件</w:t>
      </w:r>
    </w:p>
    <w:p w14:paraId="61862E47">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在综合评价基础上，择优推免和选拔思想品德过硬、专业素质优秀并具有创新精神和科研创新潜力的学生。推免</w:t>
      </w:r>
      <w:r>
        <w:rPr>
          <w:rFonts w:hint="default" w:ascii="仿宋" w:hAnsi="仿宋" w:eastAsia="仿宋" w:cs="宋体"/>
          <w:color w:val="auto"/>
          <w:kern w:val="0"/>
          <w:sz w:val="32"/>
          <w:szCs w:val="32"/>
        </w:rPr>
        <w:t>基本要求</w:t>
      </w:r>
      <w:r>
        <w:rPr>
          <w:rFonts w:hint="eastAsia" w:ascii="仿宋" w:hAnsi="仿宋" w:eastAsia="仿宋" w:cs="宋体"/>
          <w:color w:val="auto"/>
          <w:kern w:val="0"/>
          <w:sz w:val="32"/>
          <w:szCs w:val="32"/>
        </w:rPr>
        <w:t>为：</w:t>
      </w:r>
    </w:p>
    <w:p w14:paraId="63A90AB6">
      <w:pPr>
        <w:widowControl/>
        <w:numPr>
          <w:ilvl w:val="0"/>
          <w:numId w:val="0"/>
        </w:numPr>
        <w:spacing w:line="375" w:lineRule="atLeast"/>
        <w:ind w:firstLine="640" w:firstLineChars="200"/>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1.拥护中国共产党领导，具有高尚的爱国主义情操和集体主义精神，遵守宪法、法律、法规，遵守公民道德规范，遵守学校管理制度，无任何违法违纪处分记录。</w:t>
      </w:r>
    </w:p>
    <w:p w14:paraId="60F24E32">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2.诚实守信，学风端正，无考试作弊和其他学术不端行为。</w:t>
      </w:r>
    </w:p>
    <w:p w14:paraId="0B2EB3A7">
      <w:pPr>
        <w:widowControl/>
        <w:spacing w:line="375" w:lineRule="atLeast"/>
        <w:ind w:firstLine="645"/>
        <w:jc w:val="both"/>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勤奋学习，刻苦钻研，专业基础扎实，学习成绩优良，学术研究兴趣浓厚，有较强的创新意识、创新能力和专业能力</w:t>
      </w:r>
      <w:r>
        <w:rPr>
          <w:rFonts w:hint="eastAsia" w:ascii="仿宋" w:hAnsi="仿宋" w:eastAsia="仿宋" w:cs="宋体"/>
          <w:color w:val="auto"/>
          <w:kern w:val="0"/>
          <w:sz w:val="32"/>
          <w:szCs w:val="32"/>
          <w:lang w:eastAsia="zh-CN"/>
        </w:rPr>
        <w:t>。</w:t>
      </w:r>
    </w:p>
    <w:p w14:paraId="7B6175D1">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.身体健康，符合国家硕士生招生体检标准。</w:t>
      </w:r>
    </w:p>
    <w:p w14:paraId="3823C93E">
      <w:pPr>
        <w:widowControl/>
        <w:numPr>
          <w:ilvl w:val="0"/>
          <w:numId w:val="0"/>
        </w:numPr>
        <w:spacing w:line="375" w:lineRule="atLeast"/>
        <w:ind w:firstLine="643" w:firstLineChars="200"/>
        <w:jc w:val="both"/>
        <w:rPr>
          <w:rFonts w:hint="eastAsia" w:ascii="仿宋" w:hAnsi="仿宋" w:eastAsia="仿宋" w:cs="宋体"/>
          <w:b/>
          <w:bCs/>
          <w:color w:val="auto"/>
          <w:kern w:val="0"/>
          <w:sz w:val="32"/>
          <w:szCs w:val="32"/>
        </w:rPr>
      </w:pPr>
      <w:r>
        <w:rPr>
          <w:rFonts w:hint="eastAsia" w:ascii="仿宋" w:hAnsi="仿宋" w:eastAsia="仿宋" w:cs="宋体"/>
          <w:b/>
          <w:bCs/>
          <w:color w:val="auto"/>
          <w:kern w:val="0"/>
          <w:sz w:val="32"/>
          <w:szCs w:val="32"/>
          <w:lang w:eastAsia="zh-CN"/>
        </w:rPr>
        <w:t>（</w:t>
      </w:r>
      <w:r>
        <w:rPr>
          <w:rFonts w:hint="eastAsia" w:ascii="仿宋" w:hAnsi="仿宋" w:eastAsia="仿宋" w:cs="宋体"/>
          <w:b/>
          <w:bCs/>
          <w:color w:val="auto"/>
          <w:kern w:val="0"/>
          <w:sz w:val="32"/>
          <w:szCs w:val="32"/>
          <w:lang w:val="en-US" w:eastAsia="zh-CN"/>
        </w:rPr>
        <w:t>一</w:t>
      </w:r>
      <w:r>
        <w:rPr>
          <w:rFonts w:hint="eastAsia" w:ascii="仿宋" w:hAnsi="仿宋" w:eastAsia="仿宋" w:cs="宋体"/>
          <w:b/>
          <w:bCs/>
          <w:color w:val="auto"/>
          <w:kern w:val="0"/>
          <w:sz w:val="32"/>
          <w:szCs w:val="32"/>
          <w:lang w:eastAsia="zh-CN"/>
        </w:rPr>
        <w:t>）</w:t>
      </w:r>
      <w:r>
        <w:rPr>
          <w:rFonts w:hint="eastAsia" w:ascii="仿宋" w:hAnsi="仿宋" w:eastAsia="仿宋" w:cs="宋体"/>
          <w:b/>
          <w:bCs/>
          <w:color w:val="auto"/>
          <w:kern w:val="0"/>
          <w:sz w:val="32"/>
          <w:szCs w:val="32"/>
        </w:rPr>
        <w:t>普通推免生</w:t>
      </w:r>
    </w:p>
    <w:p w14:paraId="111ED7F3">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.学习成绩优秀，必修课及专业选修课正常考核无不及格课程，前三个学年平均学分绩点排名列专业前3</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w:t>
      </w:r>
    </w:p>
    <w:p w14:paraId="26C04C0E">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.全国大学英语六级考试成绩425 分（含）以上；雅思成绩6.0（含）以上，或托福成绩80分（含）以上视为符合本条件。</w:t>
      </w:r>
    </w:p>
    <w:p w14:paraId="34DCBB4F">
      <w:pPr>
        <w:widowControl/>
        <w:spacing w:line="375" w:lineRule="atLeast"/>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b/>
          <w:bCs/>
          <w:color w:val="auto"/>
          <w:kern w:val="0"/>
          <w:sz w:val="32"/>
          <w:szCs w:val="32"/>
          <w:lang w:val="en-US" w:eastAsia="zh-CN"/>
        </w:rPr>
        <w:t xml:space="preserve"> </w:t>
      </w:r>
      <w:r>
        <w:rPr>
          <w:rFonts w:hint="eastAsia" w:ascii="仿宋" w:hAnsi="仿宋" w:eastAsia="仿宋" w:cs="宋体"/>
          <w:b/>
          <w:bCs/>
          <w:color w:val="auto"/>
          <w:kern w:val="0"/>
          <w:sz w:val="32"/>
          <w:szCs w:val="32"/>
        </w:rPr>
        <w:t>（</w:t>
      </w:r>
      <w:r>
        <w:rPr>
          <w:rFonts w:hint="eastAsia" w:ascii="仿宋" w:hAnsi="仿宋" w:eastAsia="仿宋" w:cs="宋体"/>
          <w:b/>
          <w:bCs/>
          <w:color w:val="auto"/>
          <w:kern w:val="0"/>
          <w:sz w:val="32"/>
          <w:szCs w:val="32"/>
          <w:lang w:val="en-US" w:eastAsia="zh-CN"/>
        </w:rPr>
        <w:t>二</w:t>
      </w:r>
      <w:r>
        <w:rPr>
          <w:rFonts w:hint="eastAsia" w:ascii="仿宋" w:hAnsi="仿宋" w:eastAsia="仿宋" w:cs="宋体"/>
          <w:b/>
          <w:bCs/>
          <w:color w:val="auto"/>
          <w:kern w:val="0"/>
          <w:sz w:val="32"/>
          <w:szCs w:val="32"/>
        </w:rPr>
        <w:t>）双学科复合型教育硕士</w:t>
      </w:r>
    </w:p>
    <w:p w14:paraId="28C0527E">
      <w:pPr>
        <w:widowControl/>
        <w:spacing w:line="375" w:lineRule="atLeast"/>
        <w:ind w:firstLine="645"/>
        <w:jc w:val="both"/>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2020 级及以后的学生按照教育部办公厅《关于同意江苏等省开展高素质复合型硕士层次高中教师培养试点的函》（教师厅函〔2020〕3 号）、《杭州师范大学高素质复合型硕士层次高中教师培养试点研究生推免实施方案》等相关文件和试点项目要求执行。需签订《浙江省高素质复合型硕士层次高中教师培养试点推荐免试攻读研究生协议书》</w:t>
      </w:r>
      <w:r>
        <w:rPr>
          <w:rFonts w:hint="eastAsia" w:ascii="仿宋" w:hAnsi="仿宋" w:eastAsia="仿宋" w:cs="宋体"/>
          <w:color w:val="auto"/>
          <w:kern w:val="0"/>
          <w:sz w:val="32"/>
          <w:szCs w:val="32"/>
          <w:lang w:eastAsia="zh-CN"/>
        </w:rPr>
        <w:t>。</w:t>
      </w:r>
    </w:p>
    <w:p w14:paraId="70E16BB9">
      <w:pPr>
        <w:keepNext w:val="0"/>
        <w:keepLines w:val="0"/>
        <w:pageBreakBefore w:val="0"/>
        <w:widowControl/>
        <w:kinsoku/>
        <w:wordWrap/>
        <w:overflowPunct/>
        <w:topLinePunct w:val="0"/>
        <w:autoSpaceDE/>
        <w:autoSpaceDN/>
        <w:bidi w:val="0"/>
        <w:adjustRightInd/>
        <w:snapToGrid/>
        <w:spacing w:line="375" w:lineRule="atLeast"/>
        <w:ind w:firstLine="643" w:firstLineChars="200"/>
        <w:jc w:val="both"/>
        <w:textAlignment w:val="auto"/>
        <w:rPr>
          <w:rFonts w:hint="eastAsia" w:ascii="仿宋" w:hAnsi="仿宋" w:eastAsia="仿宋" w:cs="宋体"/>
          <w:b/>
          <w:bCs/>
          <w:color w:val="auto"/>
          <w:kern w:val="0"/>
          <w:sz w:val="32"/>
          <w:szCs w:val="32"/>
        </w:rPr>
      </w:pPr>
      <w:r>
        <w:rPr>
          <w:rFonts w:hint="eastAsia" w:ascii="仿宋" w:hAnsi="仿宋" w:eastAsia="仿宋" w:cs="宋体"/>
          <w:b/>
          <w:bCs/>
          <w:color w:val="auto"/>
          <w:kern w:val="0"/>
          <w:sz w:val="32"/>
          <w:szCs w:val="32"/>
          <w:lang w:eastAsia="zh-CN"/>
        </w:rPr>
        <w:t>（</w:t>
      </w:r>
      <w:r>
        <w:rPr>
          <w:rFonts w:hint="eastAsia" w:ascii="仿宋" w:hAnsi="仿宋" w:eastAsia="仿宋" w:cs="宋体"/>
          <w:b/>
          <w:bCs/>
          <w:color w:val="auto"/>
          <w:kern w:val="0"/>
          <w:sz w:val="32"/>
          <w:szCs w:val="32"/>
          <w:lang w:val="en-US" w:eastAsia="zh-CN"/>
        </w:rPr>
        <w:t>三</w:t>
      </w:r>
      <w:r>
        <w:rPr>
          <w:rFonts w:hint="eastAsia" w:ascii="仿宋" w:hAnsi="仿宋" w:eastAsia="仿宋" w:cs="宋体"/>
          <w:b/>
          <w:bCs/>
          <w:color w:val="auto"/>
          <w:kern w:val="0"/>
          <w:sz w:val="32"/>
          <w:szCs w:val="32"/>
          <w:lang w:eastAsia="zh-CN"/>
        </w:rPr>
        <w:t>）</w:t>
      </w:r>
      <w:r>
        <w:rPr>
          <w:rFonts w:hint="eastAsia" w:ascii="仿宋" w:hAnsi="仿宋" w:eastAsia="仿宋" w:cs="宋体"/>
          <w:b/>
          <w:bCs/>
          <w:color w:val="auto"/>
          <w:kern w:val="0"/>
          <w:sz w:val="32"/>
          <w:szCs w:val="32"/>
        </w:rPr>
        <w:t>硕师计划</w:t>
      </w:r>
    </w:p>
    <w:p w14:paraId="37B35D54">
      <w:pPr>
        <w:keepNext w:val="0"/>
        <w:keepLines w:val="0"/>
        <w:pageBreakBefore w:val="0"/>
        <w:widowControl/>
        <w:kinsoku/>
        <w:wordWrap/>
        <w:overflowPunct/>
        <w:topLinePunct w:val="0"/>
        <w:autoSpaceDE/>
        <w:autoSpaceDN/>
        <w:bidi w:val="0"/>
        <w:adjustRightInd/>
        <w:snapToGrid/>
        <w:spacing w:line="375" w:lineRule="atLeast"/>
        <w:ind w:firstLine="640" w:firstLineChars="200"/>
        <w:jc w:val="both"/>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1.志愿到浙江省内县镇及以下农村学校任教，尊重服务地区教育行政部门和学校的意见和要求，且服从省级教育行政部门安排</w:t>
      </w:r>
      <w:r>
        <w:rPr>
          <w:rFonts w:hint="eastAsia" w:ascii="仿宋" w:hAnsi="仿宋" w:eastAsia="仿宋" w:cs="宋体"/>
          <w:color w:val="auto"/>
          <w:kern w:val="0"/>
          <w:sz w:val="32"/>
          <w:szCs w:val="32"/>
          <w:lang w:eastAsia="zh-CN"/>
        </w:rPr>
        <w:t>。</w:t>
      </w:r>
    </w:p>
    <w:p w14:paraId="364CEB6D">
      <w:pPr>
        <w:widowControl/>
        <w:spacing w:line="375" w:lineRule="atLeast"/>
        <w:ind w:firstLine="645"/>
        <w:jc w:val="both"/>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2.需与任教学校所在区县教育局签订《浙江省硕师计划教师聘用合同》</w:t>
      </w:r>
      <w:r>
        <w:rPr>
          <w:rFonts w:hint="eastAsia" w:ascii="仿宋" w:hAnsi="仿宋" w:eastAsia="仿宋" w:cs="宋体"/>
          <w:color w:val="auto"/>
          <w:kern w:val="0"/>
          <w:sz w:val="32"/>
          <w:szCs w:val="32"/>
          <w:lang w:eastAsia="zh-CN"/>
        </w:rPr>
        <w:t>。</w:t>
      </w:r>
    </w:p>
    <w:p w14:paraId="11270453">
      <w:pPr>
        <w:widowControl/>
        <w:spacing w:line="375" w:lineRule="atLeast"/>
        <w:ind w:firstLine="645"/>
        <w:jc w:val="both"/>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3.在本科学习期间或经过岗前培训后取得教师资格证书</w:t>
      </w:r>
      <w:r>
        <w:rPr>
          <w:rFonts w:hint="eastAsia" w:ascii="仿宋" w:hAnsi="仿宋" w:eastAsia="仿宋" w:cs="宋体"/>
          <w:color w:val="auto"/>
          <w:kern w:val="0"/>
          <w:sz w:val="32"/>
          <w:szCs w:val="32"/>
          <w:lang w:eastAsia="zh-CN"/>
        </w:rPr>
        <w:t>。</w:t>
      </w:r>
    </w:p>
    <w:p w14:paraId="43888F7D">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4.同等条件下，师范类专业学生优先推荐。 </w:t>
      </w:r>
    </w:p>
    <w:p w14:paraId="4BCCBFC0">
      <w:pPr>
        <w:keepNext w:val="0"/>
        <w:keepLines w:val="0"/>
        <w:widowControl/>
        <w:suppressLineNumbers w:val="0"/>
        <w:ind w:firstLine="643" w:firstLineChars="200"/>
        <w:jc w:val="both"/>
        <w:rPr>
          <w:rFonts w:ascii="仿宋" w:hAnsi="仿宋" w:eastAsia="仿宋" w:cs="仿宋"/>
          <w:b/>
          <w:bCs/>
          <w:color w:val="auto"/>
          <w:kern w:val="0"/>
          <w:sz w:val="31"/>
          <w:szCs w:val="31"/>
          <w:lang w:val="en-US" w:eastAsia="zh-CN" w:bidi="ar"/>
        </w:rPr>
      </w:pPr>
      <w:r>
        <w:rPr>
          <w:rFonts w:hint="eastAsia" w:ascii="仿宋" w:hAnsi="仿宋" w:eastAsia="仿宋" w:cs="宋体"/>
          <w:b/>
          <w:bCs/>
          <w:color w:val="auto"/>
          <w:kern w:val="0"/>
          <w:sz w:val="32"/>
          <w:szCs w:val="32"/>
          <w:lang w:val="en-US" w:eastAsia="zh-CN"/>
        </w:rPr>
        <w:t>（四）</w:t>
      </w:r>
      <w:r>
        <w:rPr>
          <w:rFonts w:hint="eastAsia" w:ascii="仿宋" w:hAnsi="仿宋" w:eastAsia="仿宋" w:cs="宋体"/>
          <w:b/>
          <w:bCs/>
          <w:color w:val="auto"/>
          <w:kern w:val="0"/>
          <w:sz w:val="32"/>
          <w:szCs w:val="32"/>
          <w:lang w:eastAsia="zh-CN"/>
        </w:rPr>
        <w:t>担任辅导员工作推免生</w:t>
      </w:r>
    </w:p>
    <w:p w14:paraId="02AF52EA">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color w:val="auto"/>
        </w:rPr>
      </w:pPr>
      <w:r>
        <w:rPr>
          <w:rFonts w:ascii="仿宋" w:hAnsi="仿宋" w:eastAsia="仿宋" w:cs="仿宋"/>
          <w:color w:val="auto"/>
          <w:kern w:val="0"/>
          <w:sz w:val="31"/>
          <w:szCs w:val="31"/>
          <w:lang w:val="en-US" w:eastAsia="zh-CN" w:bidi="ar"/>
        </w:rPr>
        <w:t>申请者除符合我校推免生基本要求和普通推免生具体</w:t>
      </w:r>
      <w:r>
        <w:rPr>
          <w:rFonts w:hint="eastAsia" w:ascii="仿宋" w:hAnsi="仿宋" w:eastAsia="仿宋" w:cs="仿宋"/>
          <w:color w:val="auto"/>
          <w:kern w:val="0"/>
          <w:sz w:val="31"/>
          <w:szCs w:val="31"/>
          <w:lang w:val="en-US" w:eastAsia="zh-CN" w:bidi="ar"/>
        </w:rPr>
        <w:t xml:space="preserve">条件外，还需符合以下条件： </w:t>
      </w:r>
    </w:p>
    <w:p w14:paraId="009D907B">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color w:val="auto"/>
        </w:rPr>
      </w:pPr>
      <w:r>
        <w:rPr>
          <w:rFonts w:hint="eastAsia" w:ascii="仿宋" w:hAnsi="仿宋" w:eastAsia="仿宋" w:cs="仿宋"/>
          <w:color w:val="auto"/>
          <w:kern w:val="0"/>
          <w:sz w:val="31"/>
          <w:szCs w:val="31"/>
          <w:lang w:val="en-US" w:eastAsia="zh-CN" w:bidi="ar"/>
        </w:rPr>
        <w:t xml:space="preserve">1.中共党员（含中共预备党员）。 </w:t>
      </w:r>
    </w:p>
    <w:p w14:paraId="2DDF5C3B">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eastAsia" w:ascii="仿宋" w:hAnsi="仿宋" w:eastAsia="仿宋" w:cs="仿宋"/>
          <w:color w:val="auto"/>
          <w:kern w:val="0"/>
          <w:sz w:val="31"/>
          <w:szCs w:val="31"/>
          <w:lang w:val="en-US" w:eastAsia="zh-CN" w:bidi="ar"/>
        </w:rPr>
      </w:pPr>
      <w:r>
        <w:rPr>
          <w:rFonts w:hint="eastAsia" w:ascii="仿宋" w:hAnsi="仿宋" w:eastAsia="仿宋" w:cs="仿宋"/>
          <w:color w:val="auto"/>
          <w:kern w:val="0"/>
          <w:sz w:val="31"/>
          <w:szCs w:val="31"/>
          <w:lang w:val="en-US" w:eastAsia="zh-CN" w:bidi="ar"/>
        </w:rPr>
        <w:t>2.热爱高校学生思想政治教育工作，有较强组织协调能力、语言表达和文字写作能力，有创新精神和团队合作精神。</w:t>
      </w:r>
    </w:p>
    <w:p w14:paraId="16CD08FF">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eastAsia" w:ascii="仿宋" w:hAnsi="仿宋" w:eastAsia="仿宋" w:cs="仿宋"/>
          <w:color w:val="auto"/>
          <w:kern w:val="0"/>
          <w:sz w:val="31"/>
          <w:szCs w:val="31"/>
          <w:lang w:val="en-US" w:eastAsia="zh-CN" w:bidi="ar"/>
        </w:rPr>
      </w:pPr>
      <w:r>
        <w:rPr>
          <w:rFonts w:hint="eastAsia" w:ascii="仿宋" w:hAnsi="仿宋" w:eastAsia="仿宋" w:cs="仿宋"/>
          <w:color w:val="auto"/>
          <w:kern w:val="0"/>
          <w:sz w:val="31"/>
          <w:szCs w:val="31"/>
          <w:lang w:val="en-US" w:eastAsia="zh-CN" w:bidi="ar"/>
        </w:rPr>
        <w:t>3.大学期间曾担任主要学生干部，工作满一（学）年且表现优秀。</w:t>
      </w:r>
    </w:p>
    <w:p w14:paraId="673E6552">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仿宋" w:hAnsi="仿宋" w:eastAsia="仿宋" w:cs="宋体"/>
          <w:color w:val="auto"/>
          <w:kern w:val="0"/>
          <w:sz w:val="32"/>
          <w:szCs w:val="32"/>
          <w:lang w:val="en-US" w:eastAsia="zh-CN"/>
        </w:rPr>
      </w:pPr>
      <w:r>
        <w:rPr>
          <w:rFonts w:hint="eastAsia" w:ascii="仿宋" w:hAnsi="仿宋" w:eastAsia="仿宋" w:cs="仿宋"/>
          <w:color w:val="auto"/>
          <w:kern w:val="0"/>
          <w:sz w:val="31"/>
          <w:szCs w:val="31"/>
          <w:lang w:val="en-US" w:eastAsia="zh-CN" w:bidi="ar"/>
        </w:rPr>
        <w:t>4.该计划推免研究生在全校范围内统一选拔，推免依据和标准参照</w:t>
      </w:r>
      <w:r>
        <w:rPr>
          <w:rFonts w:hint="eastAsia" w:ascii="仿宋" w:hAnsi="仿宋" w:eastAsia="仿宋" w:cs="仿宋"/>
          <w:b/>
          <w:bCs/>
          <w:color w:val="auto"/>
          <w:kern w:val="0"/>
          <w:sz w:val="31"/>
          <w:szCs w:val="31"/>
          <w:lang w:val="en-US" w:eastAsia="zh-CN" w:bidi="ar"/>
        </w:rPr>
        <w:t>《杭州师范大学担任辅导员工作推免生选拔实施细则》</w:t>
      </w:r>
      <w:r>
        <w:rPr>
          <w:rFonts w:hint="eastAsia" w:ascii="仿宋" w:hAnsi="仿宋" w:eastAsia="仿宋" w:cs="仿宋"/>
          <w:color w:val="auto"/>
          <w:kern w:val="0"/>
          <w:sz w:val="31"/>
          <w:szCs w:val="31"/>
          <w:lang w:val="en-US" w:eastAsia="zh-CN" w:bidi="ar"/>
        </w:rPr>
        <w:t>。</w:t>
      </w:r>
    </w:p>
    <w:p w14:paraId="019A8F45">
      <w:pPr>
        <w:widowControl/>
        <w:spacing w:line="375" w:lineRule="atLeast"/>
        <w:ind w:left="615"/>
        <w:jc w:val="both"/>
        <w:rPr>
          <w:rFonts w:hint="default" w:ascii="黑体" w:hAnsi="黑体" w:eastAsia="黑体" w:cs="宋体"/>
          <w:b/>
          <w:bCs/>
          <w:color w:val="auto"/>
          <w:kern w:val="0"/>
          <w:sz w:val="32"/>
          <w:szCs w:val="32"/>
          <w:lang w:val="en-US" w:eastAsia="zh-CN"/>
        </w:rPr>
      </w:pPr>
      <w:r>
        <w:rPr>
          <w:rFonts w:hint="eastAsia" w:ascii="黑体" w:hAnsi="黑体" w:eastAsia="黑体" w:cs="宋体"/>
          <w:b/>
          <w:bCs/>
          <w:color w:val="auto"/>
          <w:kern w:val="0"/>
          <w:sz w:val="32"/>
          <w:szCs w:val="32"/>
        </w:rPr>
        <w:t>三、推免</w:t>
      </w:r>
      <w:r>
        <w:rPr>
          <w:rFonts w:hint="eastAsia" w:ascii="黑体" w:hAnsi="黑体" w:eastAsia="黑体" w:cs="宋体"/>
          <w:b/>
          <w:bCs/>
          <w:color w:val="auto"/>
          <w:kern w:val="0"/>
          <w:sz w:val="32"/>
          <w:szCs w:val="32"/>
          <w:lang w:val="en-US" w:eastAsia="zh-CN"/>
        </w:rPr>
        <w:t>依据和标准</w:t>
      </w:r>
    </w:p>
    <w:p w14:paraId="362C1B33">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推免依据主要为学生的综合成绩排名。综合成绩由学习成绩、综合能力、创新能力三项指标构成。其中学习成绩占75%，综合能力占15%，创新能力占10%。分数计算方式为百分制，总分为 100 分。综合成绩=学习成绩×75%+综合能力 ×15%+创新能力×10%。学习成绩由教务处统一提供学生前三学年平均学分绩点。</w:t>
      </w:r>
    </w:p>
    <w:p w14:paraId="0CC596C0">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学习成绩=个人平均学分绩点/年级专业（班级）最高个人平均学分绩点×100。</w:t>
      </w:r>
    </w:p>
    <w:p w14:paraId="5DDABBA5">
      <w:pPr>
        <w:widowControl/>
        <w:spacing w:line="375" w:lineRule="atLeast"/>
        <w:ind w:firstLine="645"/>
        <w:jc w:val="both"/>
        <w:rPr>
          <w:rFonts w:hint="default" w:ascii="楷体" w:hAnsi="楷体" w:eastAsia="楷体" w:cs="宋体"/>
          <w:b/>
          <w:bCs/>
          <w:color w:val="auto"/>
          <w:kern w:val="0"/>
          <w:sz w:val="32"/>
          <w:szCs w:val="32"/>
          <w:lang w:val="en-US" w:eastAsia="zh-CN"/>
        </w:rPr>
      </w:pP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综合能力=个人综合能力积分/年级专业（班级）最高个人综合能力积分×100。单项荣誉不加分。同年度同一项荣誉以最高级加分，不重复加分。</w:t>
      </w:r>
    </w:p>
    <w:tbl>
      <w:tblPr>
        <w:tblStyle w:val="6"/>
        <w:tblW w:w="841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2"/>
        <w:gridCol w:w="967"/>
      </w:tblGrid>
      <w:tr w14:paraId="3C0E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E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综合能力加分标准</w:t>
            </w:r>
          </w:p>
        </w:tc>
      </w:tr>
      <w:tr w14:paraId="1379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B0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类别</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AC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得分</w:t>
            </w:r>
          </w:p>
        </w:tc>
      </w:tr>
      <w:tr w14:paraId="2B2D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CEE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国家级综合性荣誉（全国最美大学生、全国大学生年度人物、全国自强之星、三好学生、全国优秀团员、国家级优秀志愿者等）</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6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30分</w:t>
            </w:r>
          </w:p>
        </w:tc>
      </w:tr>
      <w:tr w14:paraId="1D9D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5FA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省级综合性荣誉（省级优秀党员、省十佳大学生、省三好学生、省优秀学生干部、省优秀团员、省优秀志愿者等）</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6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15分</w:t>
            </w:r>
          </w:p>
        </w:tc>
      </w:tr>
      <w:tr w14:paraId="74F0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D9D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服兵役满两年并获得义务兵退出现役证</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C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10分</w:t>
            </w:r>
          </w:p>
        </w:tc>
      </w:tr>
      <w:tr w14:paraId="57B0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0D9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市级综合性荣誉（市级优秀党员、市十佳大学生、市三好学生、市优秀学生干部、市优秀团员、市教育系统优秀团员</w:t>
            </w:r>
            <w:r>
              <w:rPr>
                <w:rFonts w:hint="default" w:ascii="宋体" w:hAnsi="宋体" w:eastAsia="宋体" w:cs="宋体"/>
                <w:i w:val="0"/>
                <w:iCs w:val="0"/>
                <w:color w:val="auto"/>
                <w:kern w:val="0"/>
                <w:sz w:val="22"/>
                <w:szCs w:val="22"/>
                <w:u w:val="none"/>
                <w:lang w:eastAsia="zh-CN" w:bidi="ar"/>
              </w:rPr>
              <w:t>、市优秀志愿者</w:t>
            </w:r>
            <w:r>
              <w:rPr>
                <w:rFonts w:hint="eastAsia" w:ascii="宋体" w:hAnsi="宋体" w:eastAsia="宋体" w:cs="宋体"/>
                <w:i w:val="0"/>
                <w:iCs w:val="0"/>
                <w:color w:val="auto"/>
                <w:kern w:val="0"/>
                <w:sz w:val="22"/>
                <w:szCs w:val="22"/>
                <w:u w:val="none"/>
                <w:lang w:val="en-US" w:eastAsia="zh-CN" w:bidi="ar"/>
              </w:rPr>
              <w:t>等）</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0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5分</w:t>
            </w:r>
          </w:p>
        </w:tc>
      </w:tr>
      <w:tr w14:paraId="3FF9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1F3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校级综合性荣誉</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E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2分</w:t>
            </w:r>
          </w:p>
        </w:tc>
      </w:tr>
    </w:tbl>
    <w:p w14:paraId="0001A706">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创新能力分数采用积分制，根据学生在校期间发表学术论文、申请国家专利、参加学科竞赛获奖等情况加分。同一项目按最高级加分，不重复加分。创新能力=个人创新能力积分/年级专业（班级）最高个人创新能力积分×100。</w:t>
      </w:r>
    </w:p>
    <w:p w14:paraId="548418CA">
      <w:pPr>
        <w:widowControl/>
        <w:spacing w:line="375" w:lineRule="atLeast"/>
        <w:jc w:val="both"/>
        <w:rPr>
          <w:rFonts w:hint="eastAsia" w:ascii="楷体" w:hAnsi="楷体" w:eastAsia="楷体" w:cs="宋体"/>
          <w:b w:val="0"/>
          <w:bCs w:val="0"/>
          <w:color w:val="auto"/>
          <w:kern w:val="0"/>
          <w:sz w:val="32"/>
          <w:szCs w:val="32"/>
        </w:rPr>
      </w:pPr>
      <w:r>
        <w:rPr>
          <w:rFonts w:hint="eastAsia" w:ascii="宋体" w:hAnsi="宋体" w:eastAsia="宋体" w:cs="宋体"/>
          <w:color w:val="auto"/>
          <w:kern w:val="0"/>
          <w:sz w:val="32"/>
          <w:szCs w:val="32"/>
        </w:rPr>
        <w:t> </w:t>
      </w:r>
      <w:r>
        <w:rPr>
          <w:rFonts w:hint="eastAsia" w:ascii="宋体" w:hAnsi="宋体" w:eastAsia="宋体" w:cs="宋体"/>
          <w:b w:val="0"/>
          <w:bCs w:val="0"/>
          <w:color w:val="auto"/>
          <w:kern w:val="0"/>
          <w:sz w:val="32"/>
          <w:szCs w:val="32"/>
        </w:rPr>
        <w:t> </w:t>
      </w: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学术论文加分标准</w:t>
      </w:r>
    </w:p>
    <w:tbl>
      <w:tblPr>
        <w:tblStyle w:val="6"/>
        <w:tblW w:w="8513"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63"/>
        <w:gridCol w:w="855"/>
        <w:gridCol w:w="5995"/>
      </w:tblGrid>
      <w:tr w14:paraId="4E78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663"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14:paraId="331895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b/>
                <w:color w:val="auto"/>
                <w:kern w:val="0"/>
                <w:sz w:val="24"/>
                <w:szCs w:val="24"/>
                <w:lang w:val="en-US" w:eastAsia="zh-CN" w:bidi="ar"/>
              </w:rPr>
              <w:t>期刊级别</w:t>
            </w:r>
          </w:p>
        </w:tc>
        <w:tc>
          <w:tcPr>
            <w:tcW w:w="85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14:paraId="7303EB0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b/>
                <w:color w:val="auto"/>
                <w:kern w:val="0"/>
                <w:sz w:val="24"/>
                <w:szCs w:val="24"/>
                <w:lang w:val="en-US" w:eastAsia="zh-CN" w:bidi="ar"/>
              </w:rPr>
              <w:t>加分</w:t>
            </w:r>
          </w:p>
        </w:tc>
        <w:tc>
          <w:tcPr>
            <w:tcW w:w="5995" w:type="dxa"/>
            <w:tcBorders>
              <w:top w:val="single" w:color="auto" w:sz="6" w:space="0"/>
              <w:left w:val="nil"/>
              <w:bottom w:val="single" w:color="auto" w:sz="4" w:space="0"/>
              <w:right w:val="single" w:color="auto" w:sz="6" w:space="0"/>
            </w:tcBorders>
            <w:shd w:val="clear" w:color="auto" w:fill="auto"/>
            <w:tcMar>
              <w:left w:w="105" w:type="dxa"/>
              <w:right w:w="105" w:type="dxa"/>
            </w:tcMar>
            <w:vAlign w:val="top"/>
          </w:tcPr>
          <w:p w14:paraId="2246FE0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b/>
                <w:color w:val="auto"/>
                <w:kern w:val="0"/>
                <w:sz w:val="24"/>
                <w:szCs w:val="24"/>
                <w:lang w:val="en-US" w:eastAsia="zh-CN" w:bidi="ar"/>
              </w:rPr>
              <w:t>备注</w:t>
            </w:r>
          </w:p>
        </w:tc>
      </w:tr>
      <w:tr w14:paraId="6BFC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6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E127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一类期刊</w:t>
            </w:r>
          </w:p>
        </w:tc>
        <w:tc>
          <w:tcPr>
            <w:tcW w:w="855" w:type="dxa"/>
            <w:tcBorders>
              <w:top w:val="nil"/>
              <w:left w:val="nil"/>
              <w:bottom w:val="single" w:color="auto" w:sz="4" w:space="0"/>
              <w:right w:val="single" w:color="auto" w:sz="4" w:space="0"/>
            </w:tcBorders>
            <w:shd w:val="clear" w:color="auto" w:fill="auto"/>
            <w:tcMar>
              <w:left w:w="105" w:type="dxa"/>
              <w:right w:w="105" w:type="dxa"/>
            </w:tcMar>
            <w:vAlign w:val="center"/>
          </w:tcPr>
          <w:p w14:paraId="0E5AD7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20分</w:t>
            </w:r>
          </w:p>
        </w:tc>
        <w:tc>
          <w:tcPr>
            <w:tcW w:w="5995" w:type="dxa"/>
            <w:vMerge w:val="restart"/>
            <w:tcBorders>
              <w:top w:val="nil"/>
              <w:left w:val="nil"/>
              <w:right w:val="single" w:color="auto" w:sz="4" w:space="0"/>
            </w:tcBorders>
            <w:shd w:val="clear" w:color="auto" w:fill="auto"/>
            <w:tcMar>
              <w:left w:w="105" w:type="dxa"/>
              <w:right w:w="105" w:type="dxa"/>
            </w:tcMar>
            <w:vAlign w:val="top"/>
          </w:tcPr>
          <w:p w14:paraId="6DAF89F0">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1.期刊级别以学校最新版《学术期刊定级标准》为准。</w:t>
            </w:r>
          </w:p>
          <w:p w14:paraId="2DB37D58">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2.学术论文以正式公开出版为准。</w:t>
            </w:r>
          </w:p>
          <w:p w14:paraId="5EEAD2D4">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3.要求学生第一作者或者指导老师第一作者、学生第二作者。</w:t>
            </w:r>
          </w:p>
          <w:p w14:paraId="61B6036B">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4.其他期刊限报2篇，需由院学术委员会匿名审核，超过三分之二通过方可加分。</w:t>
            </w:r>
          </w:p>
        </w:tc>
      </w:tr>
      <w:tr w14:paraId="5D07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663" w:type="dxa"/>
            <w:tcBorders>
              <w:top w:val="nil"/>
              <w:left w:val="single" w:color="auto" w:sz="6" w:space="0"/>
              <w:bottom w:val="single" w:color="auto" w:sz="6" w:space="0"/>
              <w:right w:val="single" w:color="auto" w:sz="4" w:space="0"/>
            </w:tcBorders>
            <w:shd w:val="clear" w:color="auto" w:fill="auto"/>
            <w:tcMar>
              <w:left w:w="105" w:type="dxa"/>
              <w:right w:w="105" w:type="dxa"/>
            </w:tcMar>
            <w:vAlign w:val="center"/>
          </w:tcPr>
          <w:p w14:paraId="1791B08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二类期刊</w:t>
            </w:r>
          </w:p>
        </w:tc>
        <w:tc>
          <w:tcPr>
            <w:tcW w:w="855" w:type="dxa"/>
            <w:tcBorders>
              <w:top w:val="single" w:color="auto" w:sz="4" w:space="0"/>
              <w:left w:val="nil"/>
              <w:bottom w:val="single" w:color="auto" w:sz="6" w:space="0"/>
              <w:right w:val="single" w:color="auto" w:sz="4" w:space="0"/>
            </w:tcBorders>
            <w:shd w:val="clear" w:color="auto" w:fill="auto"/>
            <w:tcMar>
              <w:left w:w="105" w:type="dxa"/>
              <w:right w:w="105" w:type="dxa"/>
            </w:tcMar>
            <w:vAlign w:val="center"/>
          </w:tcPr>
          <w:p w14:paraId="18A2AFC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15分</w:t>
            </w:r>
          </w:p>
        </w:tc>
        <w:tc>
          <w:tcPr>
            <w:tcW w:w="5995" w:type="dxa"/>
            <w:vMerge w:val="continue"/>
            <w:tcBorders>
              <w:left w:val="nil"/>
              <w:right w:val="single" w:color="auto" w:sz="4" w:space="0"/>
            </w:tcBorders>
            <w:shd w:val="clear" w:color="auto" w:fill="auto"/>
            <w:tcMar>
              <w:left w:w="105" w:type="dxa"/>
              <w:right w:w="105" w:type="dxa"/>
            </w:tcMar>
            <w:vAlign w:val="top"/>
          </w:tcPr>
          <w:p w14:paraId="2CE3BE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14:paraId="6523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63" w:type="dxa"/>
            <w:tcBorders>
              <w:top w:val="nil"/>
              <w:left w:val="single" w:color="auto" w:sz="6" w:space="0"/>
              <w:bottom w:val="single" w:color="auto" w:sz="6" w:space="0"/>
              <w:right w:val="single" w:color="auto" w:sz="4" w:space="0"/>
            </w:tcBorders>
            <w:shd w:val="clear" w:color="auto" w:fill="auto"/>
            <w:tcMar>
              <w:left w:w="105" w:type="dxa"/>
              <w:right w:w="105" w:type="dxa"/>
            </w:tcMar>
            <w:vAlign w:val="center"/>
          </w:tcPr>
          <w:p w14:paraId="02810EF8">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4"/>
                <w:szCs w:val="24"/>
              </w:rPr>
            </w:pPr>
            <w:r>
              <w:rPr>
                <w:rFonts w:hint="default" w:ascii="仿宋" w:hAnsi="仿宋" w:eastAsia="仿宋" w:cs="仿宋"/>
                <w:color w:val="auto"/>
                <w:kern w:val="0"/>
                <w:sz w:val="24"/>
                <w:szCs w:val="24"/>
                <w:lang w:val="en-US" w:eastAsia="zh-CN" w:bidi="ar"/>
              </w:rPr>
              <w:t>三类期刊</w:t>
            </w:r>
          </w:p>
        </w:tc>
        <w:tc>
          <w:tcPr>
            <w:tcW w:w="855" w:type="dxa"/>
            <w:tcBorders>
              <w:top w:val="nil"/>
              <w:left w:val="nil"/>
              <w:bottom w:val="single" w:color="auto" w:sz="6" w:space="0"/>
              <w:right w:val="single" w:color="auto" w:sz="4" w:space="0"/>
            </w:tcBorders>
            <w:shd w:val="clear" w:color="auto" w:fill="auto"/>
            <w:tcMar>
              <w:left w:w="105" w:type="dxa"/>
              <w:right w:w="105" w:type="dxa"/>
            </w:tcMar>
            <w:vAlign w:val="center"/>
          </w:tcPr>
          <w:p w14:paraId="2C38BE8A">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4"/>
                <w:szCs w:val="24"/>
              </w:rPr>
            </w:pPr>
            <w:r>
              <w:rPr>
                <w:rFonts w:hint="default" w:ascii="仿宋" w:hAnsi="仿宋" w:eastAsia="仿宋" w:cs="仿宋"/>
                <w:color w:val="auto"/>
                <w:kern w:val="0"/>
                <w:sz w:val="24"/>
                <w:szCs w:val="24"/>
                <w:lang w:val="en-US" w:eastAsia="zh-CN" w:bidi="ar"/>
              </w:rPr>
              <w:t>10分</w:t>
            </w:r>
          </w:p>
        </w:tc>
        <w:tc>
          <w:tcPr>
            <w:tcW w:w="5995" w:type="dxa"/>
            <w:vMerge w:val="continue"/>
            <w:tcBorders>
              <w:left w:val="nil"/>
              <w:right w:val="single" w:color="auto" w:sz="4" w:space="0"/>
            </w:tcBorders>
            <w:shd w:val="clear" w:color="auto" w:fill="auto"/>
            <w:tcMar>
              <w:left w:w="105" w:type="dxa"/>
              <w:right w:w="105" w:type="dxa"/>
            </w:tcMar>
            <w:vAlign w:val="top"/>
          </w:tcPr>
          <w:p w14:paraId="06A6B3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14:paraId="706B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63" w:type="dxa"/>
            <w:tcBorders>
              <w:top w:val="nil"/>
              <w:left w:val="single" w:color="auto" w:sz="6" w:space="0"/>
              <w:bottom w:val="single" w:color="auto" w:sz="4" w:space="0"/>
              <w:right w:val="single" w:color="auto" w:sz="4" w:space="0"/>
            </w:tcBorders>
            <w:shd w:val="clear" w:color="auto" w:fill="auto"/>
            <w:tcMar>
              <w:left w:w="105" w:type="dxa"/>
              <w:right w:w="105" w:type="dxa"/>
            </w:tcMar>
            <w:vAlign w:val="center"/>
          </w:tcPr>
          <w:p w14:paraId="5960F5B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四类期刊</w:t>
            </w:r>
          </w:p>
        </w:tc>
        <w:tc>
          <w:tcPr>
            <w:tcW w:w="855" w:type="dxa"/>
            <w:tcBorders>
              <w:top w:val="nil"/>
              <w:left w:val="nil"/>
              <w:bottom w:val="single" w:color="auto" w:sz="4" w:space="0"/>
              <w:right w:val="single" w:color="auto" w:sz="4" w:space="0"/>
            </w:tcBorders>
            <w:shd w:val="clear" w:color="auto" w:fill="auto"/>
            <w:tcMar>
              <w:left w:w="105" w:type="dxa"/>
              <w:right w:w="105" w:type="dxa"/>
            </w:tcMar>
            <w:vAlign w:val="center"/>
          </w:tcPr>
          <w:p w14:paraId="4E083F2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5分</w:t>
            </w:r>
          </w:p>
        </w:tc>
        <w:tc>
          <w:tcPr>
            <w:tcW w:w="5995" w:type="dxa"/>
            <w:vMerge w:val="continue"/>
            <w:tcBorders>
              <w:left w:val="nil"/>
              <w:right w:val="single" w:color="auto" w:sz="4" w:space="0"/>
            </w:tcBorders>
            <w:shd w:val="clear" w:color="auto" w:fill="auto"/>
            <w:tcMar>
              <w:left w:w="105" w:type="dxa"/>
              <w:right w:w="105" w:type="dxa"/>
            </w:tcMar>
            <w:vAlign w:val="top"/>
          </w:tcPr>
          <w:p w14:paraId="140588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14:paraId="6532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6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6199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五类期刊</w:t>
            </w:r>
          </w:p>
        </w:tc>
        <w:tc>
          <w:tcPr>
            <w:tcW w:w="855" w:type="dxa"/>
            <w:tcBorders>
              <w:top w:val="single" w:color="auto" w:sz="4" w:space="0"/>
              <w:left w:val="nil"/>
              <w:bottom w:val="single" w:color="auto" w:sz="4" w:space="0"/>
              <w:right w:val="single" w:color="auto" w:sz="4" w:space="0"/>
            </w:tcBorders>
            <w:shd w:val="clear" w:color="auto" w:fill="auto"/>
            <w:tcMar>
              <w:left w:w="105" w:type="dxa"/>
              <w:right w:w="105" w:type="dxa"/>
            </w:tcMar>
            <w:vAlign w:val="center"/>
          </w:tcPr>
          <w:p w14:paraId="0C4565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2分</w:t>
            </w:r>
          </w:p>
        </w:tc>
        <w:tc>
          <w:tcPr>
            <w:tcW w:w="5995" w:type="dxa"/>
            <w:vMerge w:val="continue"/>
            <w:tcBorders>
              <w:left w:val="nil"/>
              <w:right w:val="single" w:color="auto" w:sz="4" w:space="0"/>
            </w:tcBorders>
            <w:shd w:val="clear" w:color="auto" w:fill="auto"/>
            <w:tcMar>
              <w:left w:w="105" w:type="dxa"/>
              <w:right w:w="105" w:type="dxa"/>
            </w:tcMar>
            <w:vAlign w:val="top"/>
          </w:tcPr>
          <w:p w14:paraId="4FD0456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14:paraId="5E25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63" w:type="dxa"/>
            <w:tcBorders>
              <w:top w:val="single" w:color="auto" w:sz="4" w:space="0"/>
              <w:left w:val="single" w:color="auto" w:sz="6" w:space="0"/>
              <w:bottom w:val="single" w:color="auto" w:sz="6" w:space="0"/>
              <w:right w:val="single" w:color="auto" w:sz="4" w:space="0"/>
            </w:tcBorders>
            <w:shd w:val="clear" w:color="auto" w:fill="auto"/>
            <w:tcMar>
              <w:left w:w="105" w:type="dxa"/>
              <w:right w:w="105" w:type="dxa"/>
            </w:tcMar>
            <w:vAlign w:val="center"/>
          </w:tcPr>
          <w:p w14:paraId="16CF4BC7">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4"/>
                <w:szCs w:val="24"/>
              </w:rPr>
            </w:pPr>
            <w:r>
              <w:rPr>
                <w:rFonts w:hint="default" w:ascii="仿宋" w:hAnsi="仿宋" w:eastAsia="仿宋" w:cs="仿宋"/>
                <w:color w:val="auto"/>
                <w:kern w:val="0"/>
                <w:sz w:val="24"/>
                <w:szCs w:val="24"/>
                <w:lang w:val="en-US" w:eastAsia="zh-CN" w:bidi="ar"/>
              </w:rPr>
              <w:t>其他</w:t>
            </w:r>
          </w:p>
        </w:tc>
        <w:tc>
          <w:tcPr>
            <w:tcW w:w="855" w:type="dxa"/>
            <w:tcBorders>
              <w:top w:val="single" w:color="auto" w:sz="4" w:space="0"/>
              <w:left w:val="nil"/>
              <w:bottom w:val="single" w:color="auto" w:sz="4" w:space="0"/>
              <w:right w:val="single" w:color="auto" w:sz="4" w:space="0"/>
            </w:tcBorders>
            <w:shd w:val="clear" w:color="auto" w:fill="auto"/>
            <w:tcMar>
              <w:left w:w="105" w:type="dxa"/>
              <w:right w:w="105" w:type="dxa"/>
            </w:tcMar>
            <w:vAlign w:val="center"/>
          </w:tcPr>
          <w:p w14:paraId="2442AA50">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4"/>
                <w:szCs w:val="24"/>
              </w:rPr>
            </w:pPr>
            <w:r>
              <w:rPr>
                <w:rFonts w:hint="default" w:ascii="仿宋" w:hAnsi="仿宋" w:eastAsia="仿宋" w:cs="仿宋"/>
                <w:color w:val="auto"/>
                <w:kern w:val="0"/>
                <w:sz w:val="24"/>
                <w:szCs w:val="24"/>
                <w:lang w:val="en-US" w:eastAsia="zh-CN" w:bidi="ar"/>
              </w:rPr>
              <w:t>1分</w:t>
            </w:r>
          </w:p>
        </w:tc>
        <w:tc>
          <w:tcPr>
            <w:tcW w:w="5995" w:type="dxa"/>
            <w:vMerge w:val="continue"/>
            <w:tcBorders>
              <w:left w:val="nil"/>
              <w:bottom w:val="single" w:color="auto" w:sz="4" w:space="0"/>
              <w:right w:val="single" w:color="auto" w:sz="4" w:space="0"/>
            </w:tcBorders>
            <w:shd w:val="clear" w:color="auto" w:fill="auto"/>
            <w:vAlign w:val="center"/>
          </w:tcPr>
          <w:p w14:paraId="688311D2">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18"/>
                <w:szCs w:val="18"/>
              </w:rPr>
            </w:pPr>
          </w:p>
        </w:tc>
      </w:tr>
    </w:tbl>
    <w:p w14:paraId="45880E31">
      <w:pPr>
        <w:widowControl/>
        <w:spacing w:line="375" w:lineRule="atLeast"/>
        <w:ind w:left="795"/>
        <w:jc w:val="both"/>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lang w:val="en-US" w:eastAsia="zh-CN"/>
        </w:rPr>
        <w:t>（2）国家专利加分标准</w:t>
      </w:r>
    </w:p>
    <w:tbl>
      <w:tblPr>
        <w:tblStyle w:val="6"/>
        <w:tblW w:w="8516" w:type="dxa"/>
        <w:tblInd w:w="0" w:type="dxa"/>
        <w:tblLayout w:type="fixed"/>
        <w:tblCellMar>
          <w:top w:w="0" w:type="dxa"/>
          <w:left w:w="0" w:type="dxa"/>
          <w:bottom w:w="0" w:type="dxa"/>
          <w:right w:w="0" w:type="dxa"/>
        </w:tblCellMar>
      </w:tblPr>
      <w:tblGrid>
        <w:gridCol w:w="5202"/>
        <w:gridCol w:w="855"/>
        <w:gridCol w:w="2459"/>
      </w:tblGrid>
      <w:tr w14:paraId="5359C1C5">
        <w:tc>
          <w:tcPr>
            <w:tcW w:w="52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76FD88C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专利类别</w:t>
            </w:r>
          </w:p>
        </w:tc>
        <w:tc>
          <w:tcPr>
            <w:tcW w:w="855" w:type="dxa"/>
            <w:tcBorders>
              <w:top w:val="single" w:color="auto" w:sz="6" w:space="0"/>
              <w:left w:val="nil"/>
              <w:bottom w:val="single" w:color="auto" w:sz="6" w:space="0"/>
              <w:right w:val="single" w:color="auto" w:sz="6" w:space="0"/>
            </w:tcBorders>
            <w:tcMar>
              <w:top w:w="0" w:type="dxa"/>
              <w:left w:w="105" w:type="dxa"/>
              <w:bottom w:w="0" w:type="dxa"/>
              <w:right w:w="105" w:type="dxa"/>
            </w:tcMar>
          </w:tcPr>
          <w:p w14:paraId="2F39826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加分</w:t>
            </w:r>
          </w:p>
        </w:tc>
        <w:tc>
          <w:tcPr>
            <w:tcW w:w="2459" w:type="dxa"/>
            <w:tcBorders>
              <w:top w:val="single" w:color="auto" w:sz="6" w:space="0"/>
              <w:left w:val="nil"/>
              <w:bottom w:val="single" w:color="auto" w:sz="6" w:space="0"/>
              <w:right w:val="single" w:color="auto" w:sz="6" w:space="0"/>
            </w:tcBorders>
            <w:tcMar>
              <w:top w:w="0" w:type="dxa"/>
              <w:left w:w="105" w:type="dxa"/>
              <w:bottom w:w="0" w:type="dxa"/>
              <w:right w:w="105" w:type="dxa"/>
            </w:tcMar>
          </w:tcPr>
          <w:p w14:paraId="5AD6FD4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备注</w:t>
            </w:r>
          </w:p>
        </w:tc>
      </w:tr>
      <w:tr w14:paraId="003C6948">
        <w:tblPrEx>
          <w:tblCellMar>
            <w:top w:w="0" w:type="dxa"/>
            <w:left w:w="0" w:type="dxa"/>
            <w:bottom w:w="0" w:type="dxa"/>
            <w:right w:w="0" w:type="dxa"/>
          </w:tblCellMar>
        </w:tblPrEx>
        <w:tc>
          <w:tcPr>
            <w:tcW w:w="5202"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09A9B041">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发明专利</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14:paraId="7839280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5分</w:t>
            </w:r>
          </w:p>
        </w:tc>
        <w:tc>
          <w:tcPr>
            <w:tcW w:w="2459" w:type="dxa"/>
            <w:vMerge w:val="restart"/>
            <w:tcBorders>
              <w:top w:val="nil"/>
              <w:left w:val="nil"/>
              <w:bottom w:val="single" w:color="auto" w:sz="6" w:space="0"/>
              <w:right w:val="single" w:color="auto" w:sz="6" w:space="0"/>
            </w:tcBorders>
            <w:tcMar>
              <w:top w:w="0" w:type="dxa"/>
              <w:left w:w="105" w:type="dxa"/>
              <w:bottom w:w="0" w:type="dxa"/>
              <w:right w:w="105" w:type="dxa"/>
            </w:tcMar>
          </w:tcPr>
          <w:p w14:paraId="4A21E205">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以第一负责人取得专利授权书为准。</w:t>
            </w:r>
          </w:p>
        </w:tc>
      </w:tr>
      <w:tr w14:paraId="14A2E7B0">
        <w:tblPrEx>
          <w:tblCellMar>
            <w:top w:w="0" w:type="dxa"/>
            <w:left w:w="0" w:type="dxa"/>
            <w:bottom w:w="0" w:type="dxa"/>
            <w:right w:w="0" w:type="dxa"/>
          </w:tblCellMar>
        </w:tblPrEx>
        <w:tc>
          <w:tcPr>
            <w:tcW w:w="5202"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31A234FE">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实用新型专利、外观设计专利、软件著作权</w:t>
            </w:r>
          </w:p>
        </w:tc>
        <w:tc>
          <w:tcPr>
            <w:tcW w:w="855" w:type="dxa"/>
            <w:tcBorders>
              <w:top w:val="nil"/>
              <w:left w:val="nil"/>
              <w:bottom w:val="single" w:color="auto" w:sz="6" w:space="0"/>
              <w:right w:val="single" w:color="auto" w:sz="6" w:space="0"/>
            </w:tcBorders>
            <w:tcMar>
              <w:top w:w="0" w:type="dxa"/>
              <w:left w:w="105" w:type="dxa"/>
              <w:bottom w:w="0" w:type="dxa"/>
              <w:right w:w="105" w:type="dxa"/>
            </w:tcMar>
          </w:tcPr>
          <w:p w14:paraId="16FAAF2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2分</w:t>
            </w:r>
          </w:p>
        </w:tc>
        <w:tc>
          <w:tcPr>
            <w:tcW w:w="2459" w:type="dxa"/>
            <w:vMerge w:val="continue"/>
            <w:tcBorders>
              <w:top w:val="nil"/>
              <w:left w:val="nil"/>
              <w:bottom w:val="single" w:color="auto" w:sz="6" w:space="0"/>
              <w:right w:val="single" w:color="auto" w:sz="6" w:space="0"/>
            </w:tcBorders>
            <w:vAlign w:val="center"/>
          </w:tcPr>
          <w:p w14:paraId="27A419CA">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bl>
    <w:p w14:paraId="665241F7">
      <w:pPr>
        <w:widowControl/>
        <w:spacing w:line="375" w:lineRule="atLeast"/>
        <w:ind w:left="795"/>
        <w:jc w:val="both"/>
        <w:rPr>
          <w:rFonts w:hint="eastAsia" w:ascii="微软雅黑" w:hAnsi="微软雅黑" w:eastAsia="微软雅黑" w:cs="宋体"/>
          <w:b w:val="0"/>
          <w:bCs w:val="0"/>
          <w:color w:val="auto"/>
          <w:kern w:val="0"/>
          <w:sz w:val="24"/>
          <w:szCs w:val="24"/>
        </w:rPr>
      </w:pPr>
      <w:r>
        <w:rPr>
          <w:rFonts w:hint="eastAsia" w:ascii="仿宋" w:hAnsi="仿宋" w:eastAsia="仿宋" w:cs="宋体"/>
          <w:color w:val="auto"/>
          <w:kern w:val="0"/>
          <w:sz w:val="32"/>
          <w:szCs w:val="32"/>
          <w:lang w:val="en-US" w:eastAsia="zh-CN"/>
        </w:rPr>
        <w:t>（3）学科竞赛加分标准</w:t>
      </w:r>
    </w:p>
    <w:tbl>
      <w:tblPr>
        <w:tblStyle w:val="6"/>
        <w:tblW w:w="8516" w:type="dxa"/>
        <w:tblInd w:w="0" w:type="dxa"/>
        <w:tblLayout w:type="fixed"/>
        <w:tblCellMar>
          <w:top w:w="0" w:type="dxa"/>
          <w:left w:w="0" w:type="dxa"/>
          <w:bottom w:w="0" w:type="dxa"/>
          <w:right w:w="0" w:type="dxa"/>
        </w:tblCellMar>
      </w:tblPr>
      <w:tblGrid>
        <w:gridCol w:w="1409"/>
        <w:gridCol w:w="3793"/>
        <w:gridCol w:w="855"/>
        <w:gridCol w:w="2459"/>
      </w:tblGrid>
      <w:tr w14:paraId="28E0C747">
        <w:tblPrEx>
          <w:tblCellMar>
            <w:top w:w="0" w:type="dxa"/>
            <w:left w:w="0" w:type="dxa"/>
            <w:bottom w:w="0" w:type="dxa"/>
            <w:right w:w="0" w:type="dxa"/>
          </w:tblCellMar>
        </w:tblPrEx>
        <w:tc>
          <w:tcPr>
            <w:tcW w:w="140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B7C4DA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类别</w:t>
            </w:r>
          </w:p>
        </w:tc>
        <w:tc>
          <w:tcPr>
            <w:tcW w:w="3793"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CEEA18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获奖等级</w:t>
            </w:r>
          </w:p>
        </w:tc>
        <w:tc>
          <w:tcPr>
            <w:tcW w:w="85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1FBEF19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加分</w:t>
            </w:r>
          </w:p>
        </w:tc>
        <w:tc>
          <w:tcPr>
            <w:tcW w:w="245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0BDB21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备注</w:t>
            </w:r>
          </w:p>
        </w:tc>
      </w:tr>
      <w:tr w14:paraId="3E7DC441">
        <w:tblPrEx>
          <w:tblCellMar>
            <w:top w:w="0" w:type="dxa"/>
            <w:left w:w="0" w:type="dxa"/>
            <w:bottom w:w="0" w:type="dxa"/>
            <w:right w:w="0" w:type="dxa"/>
          </w:tblCellMar>
        </w:tblPrEx>
        <w:tc>
          <w:tcPr>
            <w:tcW w:w="1409"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E0EB2A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一类学科竞赛</w:t>
            </w: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5192DF34">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国家级</w:t>
            </w:r>
            <w:r>
              <w:rPr>
                <w:rFonts w:hint="eastAsia" w:ascii="仿宋" w:hAnsi="仿宋" w:eastAsia="仿宋" w:cs="宋体"/>
                <w:color w:val="auto"/>
                <w:kern w:val="0"/>
                <w:sz w:val="24"/>
                <w:szCs w:val="24"/>
                <w:highlight w:val="none"/>
                <w:lang w:val="en-US" w:eastAsia="zh-CN"/>
              </w:rPr>
              <w:t>一等次奖项（金奖、一等奖及以上）</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6B81AF1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40分</w:t>
            </w:r>
          </w:p>
        </w:tc>
        <w:tc>
          <w:tcPr>
            <w:tcW w:w="2459"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14:paraId="73C20548">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1.竞赛目录以学校学科竞赛委员会当年公布为准。</w:t>
            </w:r>
          </w:p>
          <w:p w14:paraId="4203A46B">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2.学科竞赛成果以奖状、文件等正式证明材料为准。</w:t>
            </w:r>
          </w:p>
          <w:p w14:paraId="75FD8932">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3.团队项目按照排序进行加分。</w:t>
            </w:r>
          </w:p>
        </w:tc>
      </w:tr>
      <w:tr w14:paraId="0D4CB9A3">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3026DA5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53476AB2">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国家级</w:t>
            </w:r>
            <w:r>
              <w:rPr>
                <w:rFonts w:hint="eastAsia" w:ascii="仿宋" w:hAnsi="仿宋" w:eastAsia="仿宋" w:cs="宋体"/>
                <w:color w:val="auto"/>
                <w:kern w:val="0"/>
                <w:sz w:val="24"/>
                <w:szCs w:val="24"/>
                <w:highlight w:val="none"/>
                <w:lang w:val="en-US" w:eastAsia="zh-CN"/>
              </w:rPr>
              <w:t>二等次奖项（银奖、二等奖）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3FBFB51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30分</w:t>
            </w:r>
          </w:p>
        </w:tc>
        <w:tc>
          <w:tcPr>
            <w:tcW w:w="2459" w:type="dxa"/>
            <w:vMerge w:val="continue"/>
            <w:tcBorders>
              <w:top w:val="nil"/>
              <w:left w:val="nil"/>
              <w:bottom w:val="single" w:color="auto" w:sz="6" w:space="0"/>
              <w:right w:val="single" w:color="auto" w:sz="6" w:space="0"/>
            </w:tcBorders>
            <w:vAlign w:val="center"/>
          </w:tcPr>
          <w:p w14:paraId="0D01692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05925E8C">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74069FF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385EDBC5">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国家级</w:t>
            </w:r>
            <w:r>
              <w:rPr>
                <w:rFonts w:hint="eastAsia" w:ascii="仿宋" w:hAnsi="仿宋" w:eastAsia="仿宋" w:cs="宋体"/>
                <w:color w:val="auto"/>
                <w:kern w:val="0"/>
                <w:sz w:val="24"/>
                <w:szCs w:val="24"/>
                <w:highlight w:val="none"/>
                <w:lang w:val="en-US" w:eastAsia="zh-CN"/>
              </w:rPr>
              <w:t>三等次奖项（铜奖、三等奖）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03DF7C1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20分</w:t>
            </w:r>
          </w:p>
        </w:tc>
        <w:tc>
          <w:tcPr>
            <w:tcW w:w="2459" w:type="dxa"/>
            <w:vMerge w:val="continue"/>
            <w:tcBorders>
              <w:top w:val="nil"/>
              <w:left w:val="nil"/>
              <w:bottom w:val="single" w:color="auto" w:sz="6" w:space="0"/>
              <w:right w:val="single" w:color="auto" w:sz="6" w:space="0"/>
            </w:tcBorders>
            <w:vAlign w:val="center"/>
          </w:tcPr>
          <w:p w14:paraId="275136DC">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5D091276">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160B205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6A06CC82">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省级</w:t>
            </w:r>
            <w:r>
              <w:rPr>
                <w:rFonts w:hint="eastAsia" w:ascii="仿宋" w:hAnsi="仿宋" w:eastAsia="仿宋" w:cs="宋体"/>
                <w:color w:val="auto"/>
                <w:kern w:val="0"/>
                <w:sz w:val="24"/>
                <w:szCs w:val="24"/>
                <w:highlight w:val="none"/>
                <w:lang w:val="en-US" w:eastAsia="zh-CN"/>
              </w:rPr>
              <w:t>一等次奖项（金奖、一等奖及以上）</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28207CF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15分</w:t>
            </w:r>
          </w:p>
        </w:tc>
        <w:tc>
          <w:tcPr>
            <w:tcW w:w="2459" w:type="dxa"/>
            <w:vMerge w:val="continue"/>
            <w:tcBorders>
              <w:top w:val="nil"/>
              <w:left w:val="nil"/>
              <w:bottom w:val="single" w:color="auto" w:sz="6" w:space="0"/>
              <w:right w:val="single" w:color="auto" w:sz="6" w:space="0"/>
            </w:tcBorders>
            <w:vAlign w:val="center"/>
          </w:tcPr>
          <w:p w14:paraId="21CC46E4">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1184E16B">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4364767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228D9972">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rPr>
              <w:t>省级</w:t>
            </w:r>
            <w:r>
              <w:rPr>
                <w:rFonts w:hint="eastAsia" w:ascii="仿宋" w:hAnsi="仿宋" w:eastAsia="仿宋" w:cs="宋体"/>
                <w:color w:val="auto"/>
                <w:kern w:val="0"/>
                <w:sz w:val="24"/>
                <w:szCs w:val="24"/>
                <w:highlight w:val="none"/>
                <w:lang w:val="en-US" w:eastAsia="zh-CN"/>
              </w:rPr>
              <w:t>二等次奖项（银奖、二等奖）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1649A62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12分</w:t>
            </w:r>
          </w:p>
        </w:tc>
        <w:tc>
          <w:tcPr>
            <w:tcW w:w="2459" w:type="dxa"/>
            <w:vMerge w:val="continue"/>
            <w:tcBorders>
              <w:top w:val="nil"/>
              <w:left w:val="nil"/>
              <w:bottom w:val="single" w:color="auto" w:sz="6" w:space="0"/>
              <w:right w:val="single" w:color="auto" w:sz="6" w:space="0"/>
            </w:tcBorders>
            <w:vAlign w:val="center"/>
          </w:tcPr>
          <w:p w14:paraId="6A0348A1">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5FBD1155">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54BBF16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4A18D726">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rPr>
              <w:t>省级</w:t>
            </w:r>
            <w:r>
              <w:rPr>
                <w:rFonts w:hint="eastAsia" w:ascii="仿宋" w:hAnsi="仿宋" w:eastAsia="仿宋" w:cs="宋体"/>
                <w:color w:val="auto"/>
                <w:kern w:val="0"/>
                <w:sz w:val="24"/>
                <w:szCs w:val="24"/>
                <w:highlight w:val="none"/>
                <w:lang w:val="en-US" w:eastAsia="zh-CN"/>
              </w:rPr>
              <w:t>三等次奖项（铜奖、三等奖）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142F45A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10分</w:t>
            </w:r>
          </w:p>
        </w:tc>
        <w:tc>
          <w:tcPr>
            <w:tcW w:w="2459" w:type="dxa"/>
            <w:vMerge w:val="continue"/>
            <w:tcBorders>
              <w:top w:val="nil"/>
              <w:left w:val="nil"/>
              <w:bottom w:val="single" w:color="auto" w:sz="6" w:space="0"/>
              <w:right w:val="single" w:color="auto" w:sz="6" w:space="0"/>
            </w:tcBorders>
            <w:vAlign w:val="center"/>
          </w:tcPr>
          <w:p w14:paraId="0E05C16B">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2D597012">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6D82B1A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788B2872">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rPr>
              <w:t>校级一等奖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56DC43A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8分</w:t>
            </w:r>
          </w:p>
        </w:tc>
        <w:tc>
          <w:tcPr>
            <w:tcW w:w="2459" w:type="dxa"/>
            <w:vMerge w:val="continue"/>
            <w:tcBorders>
              <w:top w:val="nil"/>
              <w:left w:val="nil"/>
              <w:bottom w:val="single" w:color="auto" w:sz="6" w:space="0"/>
              <w:right w:val="single" w:color="auto" w:sz="6" w:space="0"/>
            </w:tcBorders>
            <w:vAlign w:val="center"/>
          </w:tcPr>
          <w:p w14:paraId="65CD096C">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6C3B884C">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2C9D63C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7013B75D">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rPr>
              <w:t>校级二等奖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4E3153A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6分</w:t>
            </w:r>
          </w:p>
        </w:tc>
        <w:tc>
          <w:tcPr>
            <w:tcW w:w="2459" w:type="dxa"/>
            <w:vMerge w:val="continue"/>
            <w:tcBorders>
              <w:top w:val="nil"/>
              <w:left w:val="nil"/>
              <w:bottom w:val="single" w:color="auto" w:sz="6" w:space="0"/>
              <w:right w:val="single" w:color="auto" w:sz="6" w:space="0"/>
            </w:tcBorders>
            <w:vAlign w:val="center"/>
          </w:tcPr>
          <w:p w14:paraId="3431523B">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301CD594">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36AE8E7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1816110A">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rPr>
              <w:t>校级三等奖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5C34822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4分</w:t>
            </w:r>
          </w:p>
        </w:tc>
        <w:tc>
          <w:tcPr>
            <w:tcW w:w="2459" w:type="dxa"/>
            <w:vMerge w:val="continue"/>
            <w:tcBorders>
              <w:top w:val="nil"/>
              <w:left w:val="nil"/>
              <w:bottom w:val="single" w:color="auto" w:sz="6" w:space="0"/>
              <w:right w:val="single" w:color="auto" w:sz="6" w:space="0"/>
            </w:tcBorders>
            <w:vAlign w:val="center"/>
          </w:tcPr>
          <w:p w14:paraId="38E87EB1">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31334429">
        <w:tblPrEx>
          <w:tblCellMar>
            <w:top w:w="0" w:type="dxa"/>
            <w:left w:w="0" w:type="dxa"/>
            <w:bottom w:w="0" w:type="dxa"/>
            <w:right w:w="0" w:type="dxa"/>
          </w:tblCellMar>
        </w:tblPrEx>
        <w:tc>
          <w:tcPr>
            <w:tcW w:w="1409"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61C9DC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二类学科竞赛</w:t>
            </w: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7B6468D5">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rPr>
              <w:t>国家级</w:t>
            </w:r>
            <w:r>
              <w:rPr>
                <w:rFonts w:hint="eastAsia" w:ascii="仿宋" w:hAnsi="仿宋" w:eastAsia="仿宋" w:cs="宋体"/>
                <w:color w:val="auto"/>
                <w:kern w:val="0"/>
                <w:sz w:val="24"/>
                <w:szCs w:val="24"/>
                <w:highlight w:val="none"/>
                <w:lang w:val="en-US" w:eastAsia="zh-CN"/>
              </w:rPr>
              <w:t>一等次奖项（金奖、一等奖及以上）</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3B38377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10分</w:t>
            </w:r>
          </w:p>
        </w:tc>
        <w:tc>
          <w:tcPr>
            <w:tcW w:w="2459" w:type="dxa"/>
            <w:vMerge w:val="continue"/>
            <w:tcBorders>
              <w:top w:val="nil"/>
              <w:left w:val="nil"/>
              <w:bottom w:val="single" w:color="auto" w:sz="6" w:space="0"/>
              <w:right w:val="single" w:color="auto" w:sz="6" w:space="0"/>
            </w:tcBorders>
            <w:vAlign w:val="center"/>
          </w:tcPr>
          <w:p w14:paraId="3BC14F87">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6BB22670">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10D1AAED">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407B8E94">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rPr>
              <w:t>国家级</w:t>
            </w:r>
            <w:r>
              <w:rPr>
                <w:rFonts w:hint="eastAsia" w:ascii="仿宋" w:hAnsi="仿宋" w:eastAsia="仿宋" w:cs="宋体"/>
                <w:color w:val="auto"/>
                <w:kern w:val="0"/>
                <w:sz w:val="24"/>
                <w:szCs w:val="24"/>
                <w:highlight w:val="none"/>
                <w:lang w:val="en-US" w:eastAsia="zh-CN"/>
              </w:rPr>
              <w:t>二等次奖项（银奖、二等奖）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4A3DC11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8分</w:t>
            </w:r>
          </w:p>
        </w:tc>
        <w:tc>
          <w:tcPr>
            <w:tcW w:w="2459" w:type="dxa"/>
            <w:vMerge w:val="continue"/>
            <w:tcBorders>
              <w:top w:val="nil"/>
              <w:left w:val="nil"/>
              <w:bottom w:val="single" w:color="auto" w:sz="6" w:space="0"/>
              <w:right w:val="single" w:color="auto" w:sz="6" w:space="0"/>
            </w:tcBorders>
            <w:vAlign w:val="center"/>
          </w:tcPr>
          <w:p w14:paraId="14491BC7">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22436090">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63A5AFB9">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63BEB081">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rPr>
              <w:t>国家级</w:t>
            </w:r>
            <w:r>
              <w:rPr>
                <w:rFonts w:hint="eastAsia" w:ascii="仿宋" w:hAnsi="仿宋" w:eastAsia="仿宋" w:cs="宋体"/>
                <w:color w:val="auto"/>
                <w:kern w:val="0"/>
                <w:sz w:val="24"/>
                <w:szCs w:val="24"/>
                <w:highlight w:val="none"/>
                <w:lang w:val="en-US" w:eastAsia="zh-CN"/>
              </w:rPr>
              <w:t>三等次奖项（铜奖、三等奖）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206A6C4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6分</w:t>
            </w:r>
          </w:p>
        </w:tc>
        <w:tc>
          <w:tcPr>
            <w:tcW w:w="2459" w:type="dxa"/>
            <w:vMerge w:val="continue"/>
            <w:tcBorders>
              <w:top w:val="nil"/>
              <w:left w:val="nil"/>
              <w:bottom w:val="single" w:color="auto" w:sz="6" w:space="0"/>
              <w:right w:val="single" w:color="auto" w:sz="6" w:space="0"/>
            </w:tcBorders>
            <w:vAlign w:val="center"/>
          </w:tcPr>
          <w:p w14:paraId="15EBAE51">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58E71CC4">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70BF39A6">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2AA572A6">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rPr>
              <w:t>省级</w:t>
            </w:r>
            <w:r>
              <w:rPr>
                <w:rFonts w:hint="eastAsia" w:ascii="仿宋" w:hAnsi="仿宋" w:eastAsia="仿宋" w:cs="宋体"/>
                <w:color w:val="auto"/>
                <w:kern w:val="0"/>
                <w:sz w:val="24"/>
                <w:szCs w:val="24"/>
                <w:highlight w:val="none"/>
                <w:lang w:val="en-US" w:eastAsia="zh-CN"/>
              </w:rPr>
              <w:t>一等次奖项（金奖、一等奖及以上）</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13201F5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4分</w:t>
            </w:r>
          </w:p>
        </w:tc>
        <w:tc>
          <w:tcPr>
            <w:tcW w:w="2459" w:type="dxa"/>
            <w:vMerge w:val="continue"/>
            <w:tcBorders>
              <w:top w:val="nil"/>
              <w:left w:val="nil"/>
              <w:bottom w:val="single" w:color="auto" w:sz="6" w:space="0"/>
              <w:right w:val="single" w:color="auto" w:sz="6" w:space="0"/>
            </w:tcBorders>
            <w:vAlign w:val="center"/>
          </w:tcPr>
          <w:p w14:paraId="12E5A2F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5240BFB0">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7FA72EF5">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1BD2C355">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省级</w:t>
            </w:r>
            <w:r>
              <w:rPr>
                <w:rFonts w:hint="eastAsia" w:ascii="仿宋" w:hAnsi="仿宋" w:eastAsia="仿宋" w:cs="宋体"/>
                <w:color w:val="auto"/>
                <w:kern w:val="0"/>
                <w:sz w:val="24"/>
                <w:szCs w:val="24"/>
                <w:highlight w:val="none"/>
                <w:lang w:val="en-US" w:eastAsia="zh-CN"/>
              </w:rPr>
              <w:t>二等次奖项（银奖、二等奖）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0166F61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2分</w:t>
            </w:r>
          </w:p>
        </w:tc>
        <w:tc>
          <w:tcPr>
            <w:tcW w:w="2459" w:type="dxa"/>
            <w:vMerge w:val="continue"/>
            <w:tcBorders>
              <w:top w:val="nil"/>
              <w:left w:val="nil"/>
              <w:bottom w:val="single" w:color="auto" w:sz="6" w:space="0"/>
              <w:right w:val="single" w:color="auto" w:sz="6" w:space="0"/>
            </w:tcBorders>
            <w:vAlign w:val="center"/>
          </w:tcPr>
          <w:p w14:paraId="530CEA4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644F4AF0">
        <w:tblPrEx>
          <w:tblCellMar>
            <w:top w:w="0" w:type="dxa"/>
            <w:left w:w="0" w:type="dxa"/>
            <w:bottom w:w="0" w:type="dxa"/>
            <w:right w:w="0" w:type="dxa"/>
          </w:tblCellMar>
        </w:tblPrEx>
        <w:tc>
          <w:tcPr>
            <w:tcW w:w="1409" w:type="dxa"/>
            <w:vMerge w:val="continue"/>
            <w:tcBorders>
              <w:top w:val="nil"/>
              <w:left w:val="single" w:color="auto" w:sz="6" w:space="0"/>
              <w:bottom w:val="single" w:color="auto" w:sz="6" w:space="0"/>
              <w:right w:val="single" w:color="auto" w:sz="6" w:space="0"/>
            </w:tcBorders>
            <w:vAlign w:val="center"/>
          </w:tcPr>
          <w:p w14:paraId="401E26A7">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3793" w:type="dxa"/>
            <w:tcBorders>
              <w:top w:val="nil"/>
              <w:left w:val="nil"/>
              <w:bottom w:val="single" w:color="auto" w:sz="6" w:space="0"/>
              <w:right w:val="single" w:color="auto" w:sz="6" w:space="0"/>
            </w:tcBorders>
            <w:tcMar>
              <w:top w:w="0" w:type="dxa"/>
              <w:left w:w="105" w:type="dxa"/>
              <w:bottom w:w="0" w:type="dxa"/>
              <w:right w:w="105" w:type="dxa"/>
            </w:tcMar>
            <w:vAlign w:val="center"/>
          </w:tcPr>
          <w:p w14:paraId="075226D8">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省</w:t>
            </w:r>
            <w:r>
              <w:rPr>
                <w:rFonts w:hint="eastAsia" w:ascii="仿宋" w:hAnsi="仿宋" w:eastAsia="仿宋" w:cs="宋体"/>
                <w:color w:val="auto"/>
                <w:kern w:val="0"/>
                <w:sz w:val="24"/>
                <w:szCs w:val="24"/>
                <w:highlight w:val="none"/>
                <w:lang w:val="en-US" w:eastAsia="zh-CN"/>
              </w:rPr>
              <w:t>级三等次奖项（铜奖、三等奖）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50C4106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1分</w:t>
            </w:r>
          </w:p>
        </w:tc>
        <w:tc>
          <w:tcPr>
            <w:tcW w:w="2459" w:type="dxa"/>
            <w:vMerge w:val="continue"/>
            <w:tcBorders>
              <w:top w:val="nil"/>
              <w:left w:val="nil"/>
              <w:bottom w:val="single" w:color="auto" w:sz="6" w:space="0"/>
              <w:right w:val="single" w:color="auto" w:sz="6" w:space="0"/>
            </w:tcBorders>
            <w:vAlign w:val="center"/>
          </w:tcPr>
          <w:p w14:paraId="063B9A81">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bl>
    <w:p w14:paraId="7D43B7D6">
      <w:pPr>
        <w:widowControl/>
        <w:spacing w:line="375" w:lineRule="atLeast"/>
        <w:ind w:left="795"/>
        <w:jc w:val="both"/>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lang w:val="en-US" w:eastAsia="zh-CN"/>
        </w:rPr>
        <w:t>（4）科研项目加分标准</w:t>
      </w:r>
    </w:p>
    <w:tbl>
      <w:tblPr>
        <w:tblStyle w:val="6"/>
        <w:tblW w:w="8516" w:type="dxa"/>
        <w:tblInd w:w="0" w:type="dxa"/>
        <w:tblLayout w:type="fixed"/>
        <w:tblCellMar>
          <w:top w:w="0" w:type="dxa"/>
          <w:left w:w="0" w:type="dxa"/>
          <w:bottom w:w="0" w:type="dxa"/>
          <w:right w:w="0" w:type="dxa"/>
        </w:tblCellMar>
      </w:tblPr>
      <w:tblGrid>
        <w:gridCol w:w="2938"/>
        <w:gridCol w:w="990"/>
        <w:gridCol w:w="705"/>
        <w:gridCol w:w="3883"/>
      </w:tblGrid>
      <w:tr w14:paraId="2208EDED">
        <w:tblPrEx>
          <w:tblCellMar>
            <w:top w:w="0" w:type="dxa"/>
            <w:left w:w="0" w:type="dxa"/>
            <w:bottom w:w="0" w:type="dxa"/>
            <w:right w:w="0" w:type="dxa"/>
          </w:tblCellMar>
        </w:tblPrEx>
        <w:tc>
          <w:tcPr>
            <w:tcW w:w="293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80A6ED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项目名称</w:t>
            </w:r>
          </w:p>
        </w:tc>
        <w:tc>
          <w:tcPr>
            <w:tcW w:w="99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349C2E6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级别</w:t>
            </w:r>
          </w:p>
        </w:tc>
        <w:tc>
          <w:tcPr>
            <w:tcW w:w="70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3EBA1A1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加分</w:t>
            </w:r>
          </w:p>
        </w:tc>
        <w:tc>
          <w:tcPr>
            <w:tcW w:w="3883"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AEB0DF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备注</w:t>
            </w:r>
          </w:p>
        </w:tc>
      </w:tr>
      <w:tr w14:paraId="4DDDA3DA">
        <w:tblPrEx>
          <w:tblCellMar>
            <w:top w:w="0" w:type="dxa"/>
            <w:left w:w="0" w:type="dxa"/>
            <w:bottom w:w="0" w:type="dxa"/>
            <w:right w:w="0" w:type="dxa"/>
          </w:tblCellMar>
        </w:tblPrEx>
        <w:trPr>
          <w:trHeight w:val="960" w:hRule="atLeast"/>
        </w:trPr>
        <w:tc>
          <w:tcPr>
            <w:tcW w:w="293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8EFB25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国家大学生创新创业训练计划项目</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49315DB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国家级</w:t>
            </w:r>
          </w:p>
        </w:tc>
        <w:tc>
          <w:tcPr>
            <w:tcW w:w="705" w:type="dxa"/>
            <w:tcBorders>
              <w:top w:val="nil"/>
              <w:left w:val="nil"/>
              <w:bottom w:val="single" w:color="auto" w:sz="6" w:space="0"/>
              <w:right w:val="single" w:color="auto" w:sz="6" w:space="0"/>
            </w:tcBorders>
            <w:tcMar>
              <w:top w:w="0" w:type="dxa"/>
              <w:left w:w="105" w:type="dxa"/>
              <w:bottom w:w="0" w:type="dxa"/>
              <w:right w:w="105" w:type="dxa"/>
            </w:tcMar>
            <w:vAlign w:val="center"/>
          </w:tcPr>
          <w:p w14:paraId="4F37A90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w:t>
            </w:r>
          </w:p>
        </w:tc>
        <w:tc>
          <w:tcPr>
            <w:tcW w:w="3883"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14:paraId="44427469">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1.科研项目仅限负责人加分（以公示名单为准），加分项不超过2项。</w:t>
            </w:r>
          </w:p>
          <w:p w14:paraId="387F2B55">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2.以第一负责人获得其他省级以上科研项目立项的，经学院推免工作小组认定确定加分。</w:t>
            </w:r>
          </w:p>
          <w:p w14:paraId="5382A69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3.已结题的科研项目方可加分。</w:t>
            </w:r>
          </w:p>
        </w:tc>
      </w:tr>
      <w:tr w14:paraId="6CEBC87D">
        <w:tblPrEx>
          <w:tblCellMar>
            <w:top w:w="0" w:type="dxa"/>
            <w:left w:w="0" w:type="dxa"/>
            <w:bottom w:w="0" w:type="dxa"/>
            <w:right w:w="0" w:type="dxa"/>
          </w:tblCellMar>
        </w:tblPrEx>
        <w:trPr>
          <w:trHeight w:val="960" w:hRule="atLeast"/>
        </w:trPr>
        <w:tc>
          <w:tcPr>
            <w:tcW w:w="293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5EA5C3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浙江省大学生科技创新活动计划暨新苗人才计划</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56ACACD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省级</w:t>
            </w:r>
          </w:p>
        </w:tc>
        <w:tc>
          <w:tcPr>
            <w:tcW w:w="705" w:type="dxa"/>
            <w:tcBorders>
              <w:top w:val="nil"/>
              <w:left w:val="nil"/>
              <w:bottom w:val="single" w:color="auto" w:sz="6" w:space="0"/>
              <w:right w:val="single" w:color="auto" w:sz="6" w:space="0"/>
            </w:tcBorders>
            <w:tcMar>
              <w:top w:w="0" w:type="dxa"/>
              <w:left w:w="105" w:type="dxa"/>
              <w:bottom w:w="0" w:type="dxa"/>
              <w:right w:w="105" w:type="dxa"/>
            </w:tcMar>
            <w:vAlign w:val="center"/>
          </w:tcPr>
          <w:p w14:paraId="1F44A98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w:t>
            </w:r>
          </w:p>
        </w:tc>
        <w:tc>
          <w:tcPr>
            <w:tcW w:w="3883" w:type="dxa"/>
            <w:vMerge w:val="continue"/>
            <w:tcBorders>
              <w:top w:val="nil"/>
              <w:left w:val="nil"/>
              <w:bottom w:val="single" w:color="auto" w:sz="6" w:space="0"/>
              <w:right w:val="single" w:color="auto" w:sz="6" w:space="0"/>
            </w:tcBorders>
            <w:vAlign w:val="center"/>
          </w:tcPr>
          <w:p w14:paraId="67809B1A">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bl>
    <w:p w14:paraId="7089F5B6">
      <w:pPr>
        <w:widowControl/>
        <w:spacing w:line="375" w:lineRule="atLeast"/>
        <w:jc w:val="both"/>
        <w:rPr>
          <w:rFonts w:hint="eastAsia" w:ascii="楷体" w:hAnsi="楷体" w:eastAsia="楷体" w:cs="宋体"/>
          <w:b/>
          <w:bCs/>
          <w:color w:val="auto"/>
          <w:kern w:val="0"/>
          <w:sz w:val="32"/>
          <w:szCs w:val="32"/>
        </w:rPr>
      </w:pPr>
    </w:p>
    <w:p w14:paraId="6E8AC04B">
      <w:pPr>
        <w:widowControl/>
        <w:spacing w:line="375" w:lineRule="atLeast"/>
        <w:jc w:val="both"/>
        <w:rPr>
          <w:rFonts w:hint="eastAsia" w:ascii="微软雅黑" w:hAnsi="微软雅黑" w:eastAsia="微软雅黑" w:cs="宋体"/>
          <w:color w:val="auto"/>
          <w:kern w:val="0"/>
          <w:sz w:val="24"/>
          <w:szCs w:val="24"/>
        </w:rPr>
      </w:pPr>
      <w:r>
        <w:rPr>
          <w:rFonts w:hint="eastAsia" w:ascii="仿宋" w:hAnsi="仿宋" w:eastAsia="仿宋" w:cs="仿宋"/>
          <w:b w:val="0"/>
          <w:bCs w:val="0"/>
          <w:color w:val="auto"/>
          <w:kern w:val="0"/>
          <w:sz w:val="32"/>
          <w:szCs w:val="32"/>
        </w:rPr>
        <w:t>注：</w:t>
      </w:r>
      <w:r>
        <w:rPr>
          <w:rFonts w:hint="eastAsia" w:ascii="仿宋" w:hAnsi="仿宋" w:eastAsia="仿宋" w:cs="仿宋"/>
          <w:b w:val="0"/>
          <w:bCs w:val="0"/>
          <w:color w:val="auto"/>
          <w:kern w:val="0"/>
          <w:sz w:val="32"/>
          <w:szCs w:val="32"/>
          <w:lang w:val="en-US" w:eastAsia="zh-CN"/>
        </w:rPr>
        <w:t>专利、学科竞赛、科研项目、</w:t>
      </w:r>
      <w:r>
        <w:rPr>
          <w:rFonts w:hint="eastAsia" w:ascii="仿宋" w:hAnsi="仿宋" w:eastAsia="仿宋" w:cs="仿宋"/>
          <w:b w:val="0"/>
          <w:bCs w:val="0"/>
          <w:color w:val="auto"/>
          <w:kern w:val="0"/>
          <w:sz w:val="32"/>
          <w:szCs w:val="32"/>
        </w:rPr>
        <w:t>多人合作的加分比例为：</w:t>
      </w:r>
    </w:p>
    <w:tbl>
      <w:tblPr>
        <w:tblStyle w:val="6"/>
        <w:tblW w:w="8439" w:type="dxa"/>
        <w:tblInd w:w="0" w:type="dxa"/>
        <w:tblLayout w:type="fixed"/>
        <w:tblCellMar>
          <w:top w:w="0" w:type="dxa"/>
          <w:left w:w="0" w:type="dxa"/>
          <w:bottom w:w="0" w:type="dxa"/>
          <w:right w:w="0" w:type="dxa"/>
        </w:tblCellMar>
      </w:tblPr>
      <w:tblGrid>
        <w:gridCol w:w="1036"/>
        <w:gridCol w:w="1187"/>
        <w:gridCol w:w="1578"/>
        <w:gridCol w:w="1578"/>
        <w:gridCol w:w="1578"/>
        <w:gridCol w:w="1482"/>
      </w:tblGrid>
      <w:tr w14:paraId="4FF55CED">
        <w:tblPrEx>
          <w:tblCellMar>
            <w:top w:w="0" w:type="dxa"/>
            <w:left w:w="0" w:type="dxa"/>
            <w:bottom w:w="0" w:type="dxa"/>
            <w:right w:w="0" w:type="dxa"/>
          </w:tblCellMar>
        </w:tblPrEx>
        <w:trPr>
          <w:trHeight w:val="630" w:hRule="atLeast"/>
        </w:trPr>
        <w:tc>
          <w:tcPr>
            <w:tcW w:w="103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14:paraId="74008A93">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合作人数</w:t>
            </w:r>
          </w:p>
        </w:tc>
        <w:tc>
          <w:tcPr>
            <w:tcW w:w="1187" w:type="dxa"/>
            <w:tcBorders>
              <w:top w:val="single" w:color="auto" w:sz="6" w:space="0"/>
              <w:left w:val="nil"/>
              <w:bottom w:val="single" w:color="auto" w:sz="6" w:space="0"/>
              <w:right w:val="single" w:color="auto" w:sz="6" w:space="0"/>
            </w:tcBorders>
            <w:tcMar>
              <w:top w:w="0" w:type="dxa"/>
              <w:left w:w="30" w:type="dxa"/>
              <w:bottom w:w="0" w:type="dxa"/>
              <w:right w:w="30" w:type="dxa"/>
            </w:tcMar>
            <w:vAlign w:val="center"/>
          </w:tcPr>
          <w:p w14:paraId="6CE644B5">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负责人</w:t>
            </w:r>
          </w:p>
        </w:tc>
        <w:tc>
          <w:tcPr>
            <w:tcW w:w="1578" w:type="dxa"/>
            <w:tcBorders>
              <w:top w:val="single" w:color="auto" w:sz="6" w:space="0"/>
              <w:left w:val="nil"/>
              <w:bottom w:val="single" w:color="auto" w:sz="6" w:space="0"/>
              <w:right w:val="single" w:color="auto" w:sz="6" w:space="0"/>
            </w:tcBorders>
            <w:tcMar>
              <w:top w:w="0" w:type="dxa"/>
              <w:left w:w="30" w:type="dxa"/>
              <w:bottom w:w="0" w:type="dxa"/>
              <w:right w:w="30" w:type="dxa"/>
            </w:tcMar>
            <w:vAlign w:val="center"/>
          </w:tcPr>
          <w:p w14:paraId="16BB63A0">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第一合作者</w:t>
            </w:r>
          </w:p>
        </w:tc>
        <w:tc>
          <w:tcPr>
            <w:tcW w:w="1578" w:type="dxa"/>
            <w:tcBorders>
              <w:top w:val="single" w:color="auto" w:sz="6" w:space="0"/>
              <w:left w:val="nil"/>
              <w:bottom w:val="single" w:color="auto" w:sz="6" w:space="0"/>
              <w:right w:val="single" w:color="auto" w:sz="6" w:space="0"/>
            </w:tcBorders>
            <w:tcMar>
              <w:top w:w="0" w:type="dxa"/>
              <w:left w:w="30" w:type="dxa"/>
              <w:bottom w:w="0" w:type="dxa"/>
              <w:right w:w="30" w:type="dxa"/>
            </w:tcMar>
            <w:vAlign w:val="center"/>
          </w:tcPr>
          <w:p w14:paraId="53A19DE1">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第二合作者</w:t>
            </w:r>
          </w:p>
        </w:tc>
        <w:tc>
          <w:tcPr>
            <w:tcW w:w="1578" w:type="dxa"/>
            <w:tcBorders>
              <w:top w:val="single" w:color="auto" w:sz="6" w:space="0"/>
              <w:left w:val="nil"/>
              <w:bottom w:val="single" w:color="auto" w:sz="6" w:space="0"/>
              <w:right w:val="single" w:color="auto" w:sz="6" w:space="0"/>
            </w:tcBorders>
            <w:tcMar>
              <w:top w:w="0" w:type="dxa"/>
              <w:left w:w="30" w:type="dxa"/>
              <w:bottom w:w="0" w:type="dxa"/>
              <w:right w:w="30" w:type="dxa"/>
            </w:tcMar>
            <w:vAlign w:val="center"/>
          </w:tcPr>
          <w:p w14:paraId="2F9785A0">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第三合作者</w:t>
            </w:r>
          </w:p>
        </w:tc>
        <w:tc>
          <w:tcPr>
            <w:tcW w:w="1482" w:type="dxa"/>
            <w:tcBorders>
              <w:top w:val="single" w:color="auto" w:sz="6" w:space="0"/>
              <w:left w:val="nil"/>
              <w:bottom w:val="single" w:color="auto" w:sz="6" w:space="0"/>
              <w:right w:val="single" w:color="auto" w:sz="6" w:space="0"/>
            </w:tcBorders>
            <w:tcMar>
              <w:top w:w="0" w:type="dxa"/>
              <w:left w:w="30" w:type="dxa"/>
              <w:bottom w:w="0" w:type="dxa"/>
              <w:right w:w="30" w:type="dxa"/>
            </w:tcMar>
            <w:vAlign w:val="center"/>
          </w:tcPr>
          <w:p w14:paraId="7D943AA6">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第四合作者</w:t>
            </w:r>
          </w:p>
        </w:tc>
      </w:tr>
      <w:tr w14:paraId="68870DC4">
        <w:tblPrEx>
          <w:tblCellMar>
            <w:top w:w="0" w:type="dxa"/>
            <w:left w:w="0" w:type="dxa"/>
            <w:bottom w:w="0" w:type="dxa"/>
            <w:right w:w="0" w:type="dxa"/>
          </w:tblCellMar>
        </w:tblPrEx>
        <w:trPr>
          <w:trHeight w:val="420" w:hRule="atLeast"/>
        </w:trPr>
        <w:tc>
          <w:tcPr>
            <w:tcW w:w="1036" w:type="dxa"/>
            <w:tcBorders>
              <w:top w:val="nil"/>
              <w:left w:val="single" w:color="auto" w:sz="6" w:space="0"/>
              <w:bottom w:val="single" w:color="auto" w:sz="6" w:space="0"/>
              <w:right w:val="single" w:color="auto" w:sz="6" w:space="0"/>
            </w:tcBorders>
            <w:tcMar>
              <w:top w:w="0" w:type="dxa"/>
              <w:left w:w="30" w:type="dxa"/>
              <w:bottom w:w="0" w:type="dxa"/>
              <w:right w:w="30" w:type="dxa"/>
            </w:tcMar>
            <w:vAlign w:val="center"/>
          </w:tcPr>
          <w:p w14:paraId="30EF997E">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w:t>
            </w:r>
          </w:p>
        </w:tc>
        <w:tc>
          <w:tcPr>
            <w:tcW w:w="1187" w:type="dxa"/>
            <w:tcBorders>
              <w:top w:val="nil"/>
              <w:left w:val="nil"/>
              <w:bottom w:val="single" w:color="auto" w:sz="6" w:space="0"/>
              <w:right w:val="single" w:color="auto" w:sz="6" w:space="0"/>
            </w:tcBorders>
            <w:tcMar>
              <w:top w:w="0" w:type="dxa"/>
              <w:left w:w="30" w:type="dxa"/>
              <w:bottom w:w="0" w:type="dxa"/>
              <w:right w:w="30" w:type="dxa"/>
            </w:tcMar>
            <w:vAlign w:val="center"/>
          </w:tcPr>
          <w:p w14:paraId="7555B8F3">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60%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7DABBC25">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40%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594863A7">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5D8B73AB">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w:t>
            </w:r>
          </w:p>
        </w:tc>
        <w:tc>
          <w:tcPr>
            <w:tcW w:w="1482" w:type="dxa"/>
            <w:tcBorders>
              <w:top w:val="nil"/>
              <w:left w:val="nil"/>
              <w:bottom w:val="single" w:color="auto" w:sz="6" w:space="0"/>
              <w:right w:val="single" w:color="auto" w:sz="6" w:space="0"/>
            </w:tcBorders>
            <w:tcMar>
              <w:top w:w="0" w:type="dxa"/>
              <w:left w:w="30" w:type="dxa"/>
              <w:bottom w:w="0" w:type="dxa"/>
              <w:right w:w="30" w:type="dxa"/>
            </w:tcMar>
            <w:vAlign w:val="center"/>
          </w:tcPr>
          <w:p w14:paraId="40B16DC9">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w:t>
            </w:r>
          </w:p>
        </w:tc>
      </w:tr>
      <w:tr w14:paraId="4F872F70">
        <w:tblPrEx>
          <w:tblCellMar>
            <w:top w:w="0" w:type="dxa"/>
            <w:left w:w="0" w:type="dxa"/>
            <w:bottom w:w="0" w:type="dxa"/>
            <w:right w:w="0" w:type="dxa"/>
          </w:tblCellMar>
        </w:tblPrEx>
        <w:trPr>
          <w:trHeight w:val="420" w:hRule="atLeast"/>
        </w:trPr>
        <w:tc>
          <w:tcPr>
            <w:tcW w:w="1036" w:type="dxa"/>
            <w:tcBorders>
              <w:top w:val="nil"/>
              <w:left w:val="single" w:color="auto" w:sz="6" w:space="0"/>
              <w:bottom w:val="single" w:color="auto" w:sz="6" w:space="0"/>
              <w:right w:val="single" w:color="auto" w:sz="6" w:space="0"/>
            </w:tcBorders>
            <w:tcMar>
              <w:top w:w="0" w:type="dxa"/>
              <w:left w:w="30" w:type="dxa"/>
              <w:bottom w:w="0" w:type="dxa"/>
              <w:right w:w="30" w:type="dxa"/>
            </w:tcMar>
            <w:vAlign w:val="center"/>
          </w:tcPr>
          <w:p w14:paraId="05A3D2D4">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3</w:t>
            </w:r>
          </w:p>
        </w:tc>
        <w:tc>
          <w:tcPr>
            <w:tcW w:w="1187" w:type="dxa"/>
            <w:tcBorders>
              <w:top w:val="nil"/>
              <w:left w:val="nil"/>
              <w:bottom w:val="single" w:color="auto" w:sz="6" w:space="0"/>
              <w:right w:val="single" w:color="auto" w:sz="6" w:space="0"/>
            </w:tcBorders>
            <w:tcMar>
              <w:top w:w="0" w:type="dxa"/>
              <w:left w:w="30" w:type="dxa"/>
              <w:bottom w:w="0" w:type="dxa"/>
              <w:right w:w="30" w:type="dxa"/>
            </w:tcMar>
            <w:vAlign w:val="center"/>
          </w:tcPr>
          <w:p w14:paraId="08EDC6C2">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50%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4991F5FF">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30%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04161132">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0F57B855">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w:t>
            </w:r>
          </w:p>
        </w:tc>
        <w:tc>
          <w:tcPr>
            <w:tcW w:w="1482" w:type="dxa"/>
            <w:tcBorders>
              <w:top w:val="nil"/>
              <w:left w:val="nil"/>
              <w:bottom w:val="single" w:color="auto" w:sz="6" w:space="0"/>
              <w:right w:val="single" w:color="auto" w:sz="6" w:space="0"/>
            </w:tcBorders>
            <w:tcMar>
              <w:top w:w="0" w:type="dxa"/>
              <w:left w:w="30" w:type="dxa"/>
              <w:bottom w:w="0" w:type="dxa"/>
              <w:right w:w="30" w:type="dxa"/>
            </w:tcMar>
            <w:vAlign w:val="center"/>
          </w:tcPr>
          <w:p w14:paraId="3D2A93DB">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w:t>
            </w:r>
          </w:p>
        </w:tc>
      </w:tr>
      <w:tr w14:paraId="6932FE7D">
        <w:tblPrEx>
          <w:tblCellMar>
            <w:top w:w="0" w:type="dxa"/>
            <w:left w:w="0" w:type="dxa"/>
            <w:bottom w:w="0" w:type="dxa"/>
            <w:right w:w="0" w:type="dxa"/>
          </w:tblCellMar>
        </w:tblPrEx>
        <w:trPr>
          <w:trHeight w:val="420" w:hRule="atLeast"/>
        </w:trPr>
        <w:tc>
          <w:tcPr>
            <w:tcW w:w="1036" w:type="dxa"/>
            <w:tcBorders>
              <w:top w:val="nil"/>
              <w:left w:val="single" w:color="auto" w:sz="6" w:space="0"/>
              <w:bottom w:val="single" w:color="auto" w:sz="6" w:space="0"/>
              <w:right w:val="single" w:color="auto" w:sz="6" w:space="0"/>
            </w:tcBorders>
            <w:tcMar>
              <w:top w:w="0" w:type="dxa"/>
              <w:left w:w="30" w:type="dxa"/>
              <w:bottom w:w="0" w:type="dxa"/>
              <w:right w:w="30" w:type="dxa"/>
            </w:tcMar>
            <w:vAlign w:val="center"/>
          </w:tcPr>
          <w:p w14:paraId="3116A628">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4</w:t>
            </w:r>
          </w:p>
        </w:tc>
        <w:tc>
          <w:tcPr>
            <w:tcW w:w="1187" w:type="dxa"/>
            <w:tcBorders>
              <w:top w:val="nil"/>
              <w:left w:val="nil"/>
              <w:bottom w:val="single" w:color="auto" w:sz="6" w:space="0"/>
              <w:right w:val="single" w:color="auto" w:sz="6" w:space="0"/>
            </w:tcBorders>
            <w:tcMar>
              <w:top w:w="0" w:type="dxa"/>
              <w:left w:w="30" w:type="dxa"/>
              <w:bottom w:w="0" w:type="dxa"/>
              <w:right w:w="30" w:type="dxa"/>
            </w:tcMar>
            <w:vAlign w:val="center"/>
          </w:tcPr>
          <w:p w14:paraId="7C05C12E">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50%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710F9674">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25%</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4A32E092">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15%</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7AB007AD">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10%</w:t>
            </w:r>
          </w:p>
        </w:tc>
        <w:tc>
          <w:tcPr>
            <w:tcW w:w="1482" w:type="dxa"/>
            <w:tcBorders>
              <w:top w:val="nil"/>
              <w:left w:val="nil"/>
              <w:bottom w:val="single" w:color="auto" w:sz="6" w:space="0"/>
              <w:right w:val="single" w:color="auto" w:sz="6" w:space="0"/>
            </w:tcBorders>
            <w:tcMar>
              <w:top w:w="0" w:type="dxa"/>
              <w:left w:w="30" w:type="dxa"/>
              <w:bottom w:w="0" w:type="dxa"/>
              <w:right w:w="30" w:type="dxa"/>
            </w:tcMar>
            <w:vAlign w:val="center"/>
          </w:tcPr>
          <w:p w14:paraId="5FF76149">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w:t>
            </w:r>
          </w:p>
        </w:tc>
      </w:tr>
      <w:tr w14:paraId="744C8513">
        <w:tblPrEx>
          <w:tblCellMar>
            <w:top w:w="0" w:type="dxa"/>
            <w:left w:w="0" w:type="dxa"/>
            <w:bottom w:w="0" w:type="dxa"/>
            <w:right w:w="0" w:type="dxa"/>
          </w:tblCellMar>
        </w:tblPrEx>
        <w:trPr>
          <w:trHeight w:val="420" w:hRule="atLeast"/>
        </w:trPr>
        <w:tc>
          <w:tcPr>
            <w:tcW w:w="1036" w:type="dxa"/>
            <w:tcBorders>
              <w:top w:val="nil"/>
              <w:left w:val="single" w:color="auto" w:sz="6" w:space="0"/>
              <w:bottom w:val="single" w:color="auto" w:sz="6" w:space="0"/>
              <w:right w:val="single" w:color="auto" w:sz="6" w:space="0"/>
            </w:tcBorders>
            <w:tcMar>
              <w:top w:w="0" w:type="dxa"/>
              <w:left w:w="30" w:type="dxa"/>
              <w:bottom w:w="0" w:type="dxa"/>
              <w:right w:w="30" w:type="dxa"/>
            </w:tcMar>
            <w:vAlign w:val="center"/>
          </w:tcPr>
          <w:p w14:paraId="1D5C8CA9">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≥5</w:t>
            </w:r>
          </w:p>
        </w:tc>
        <w:tc>
          <w:tcPr>
            <w:tcW w:w="1187" w:type="dxa"/>
            <w:tcBorders>
              <w:top w:val="nil"/>
              <w:left w:val="nil"/>
              <w:bottom w:val="single" w:color="auto" w:sz="6" w:space="0"/>
              <w:right w:val="single" w:color="auto" w:sz="6" w:space="0"/>
            </w:tcBorders>
            <w:tcMar>
              <w:top w:w="0" w:type="dxa"/>
              <w:left w:w="30" w:type="dxa"/>
              <w:bottom w:w="0" w:type="dxa"/>
              <w:right w:w="30" w:type="dxa"/>
            </w:tcMar>
            <w:vAlign w:val="center"/>
          </w:tcPr>
          <w:p w14:paraId="531422D5">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50%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4D6457A9">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148C7BB8">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15%</w:t>
            </w:r>
          </w:p>
        </w:tc>
        <w:tc>
          <w:tcPr>
            <w:tcW w:w="3060" w:type="dxa"/>
            <w:gridSpan w:val="2"/>
            <w:tcBorders>
              <w:top w:val="nil"/>
              <w:left w:val="nil"/>
              <w:bottom w:val="single" w:color="auto" w:sz="6" w:space="0"/>
              <w:right w:val="single" w:color="auto" w:sz="6" w:space="0"/>
            </w:tcBorders>
            <w:tcMar>
              <w:top w:w="0" w:type="dxa"/>
              <w:left w:w="30" w:type="dxa"/>
              <w:bottom w:w="0" w:type="dxa"/>
              <w:right w:w="30" w:type="dxa"/>
            </w:tcMar>
            <w:vAlign w:val="center"/>
          </w:tcPr>
          <w:p w14:paraId="011252AF">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其余合作者平均分配</w:t>
            </w:r>
          </w:p>
        </w:tc>
      </w:tr>
    </w:tbl>
    <w:p w14:paraId="4A7DBE9A">
      <w:pPr>
        <w:widowControl/>
        <w:spacing w:line="375" w:lineRule="atLeast"/>
        <w:ind w:left="615"/>
        <w:jc w:val="both"/>
        <w:rPr>
          <w:rFonts w:hint="eastAsia" w:ascii="黑体" w:hAnsi="黑体" w:eastAsia="黑体" w:cs="宋体"/>
          <w:b/>
          <w:bCs/>
          <w:color w:val="auto"/>
          <w:kern w:val="0"/>
          <w:sz w:val="32"/>
          <w:szCs w:val="32"/>
        </w:rPr>
      </w:pPr>
    </w:p>
    <w:p w14:paraId="4A969E60">
      <w:pPr>
        <w:widowControl/>
        <w:spacing w:line="375" w:lineRule="atLeast"/>
        <w:ind w:left="615"/>
        <w:jc w:val="both"/>
        <w:rPr>
          <w:rFonts w:hint="eastAsia" w:ascii="微软雅黑" w:hAnsi="微软雅黑" w:eastAsia="微软雅黑" w:cs="宋体"/>
          <w:color w:val="auto"/>
          <w:kern w:val="0"/>
          <w:sz w:val="24"/>
          <w:szCs w:val="24"/>
        </w:rPr>
      </w:pPr>
      <w:r>
        <w:rPr>
          <w:rFonts w:hint="eastAsia" w:ascii="黑体" w:hAnsi="黑体" w:eastAsia="黑体" w:cs="宋体"/>
          <w:b/>
          <w:bCs/>
          <w:color w:val="auto"/>
          <w:kern w:val="0"/>
          <w:sz w:val="32"/>
          <w:szCs w:val="32"/>
        </w:rPr>
        <w:t>四、推免程序</w:t>
      </w:r>
    </w:p>
    <w:p w14:paraId="3003093E">
      <w:pPr>
        <w:widowControl/>
        <w:spacing w:line="375" w:lineRule="atLeast"/>
        <w:ind w:firstLine="645"/>
        <w:jc w:val="both"/>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1.学院成立推免工作领导小组，组长为学院党政主要负责人，</w:t>
      </w:r>
      <w:r>
        <w:rPr>
          <w:rFonts w:hint="eastAsia" w:ascii="仿宋" w:hAnsi="仿宋" w:eastAsia="仿宋" w:cs="宋体"/>
          <w:color w:val="auto"/>
          <w:kern w:val="0"/>
          <w:sz w:val="32"/>
          <w:szCs w:val="32"/>
          <w:lang w:val="en-US" w:eastAsia="zh-CN"/>
        </w:rPr>
        <w:t>副组长</w:t>
      </w:r>
      <w:r>
        <w:rPr>
          <w:rFonts w:hint="eastAsia" w:ascii="仿宋" w:hAnsi="仿宋" w:eastAsia="仿宋" w:cs="宋体"/>
          <w:color w:val="auto"/>
          <w:kern w:val="0"/>
          <w:sz w:val="32"/>
          <w:szCs w:val="32"/>
        </w:rPr>
        <w:t>为</w:t>
      </w:r>
      <w:r>
        <w:rPr>
          <w:rFonts w:hint="eastAsia" w:ascii="仿宋" w:hAnsi="仿宋" w:eastAsia="仿宋" w:cs="宋体"/>
          <w:color w:val="auto"/>
          <w:kern w:val="0"/>
          <w:sz w:val="32"/>
          <w:szCs w:val="32"/>
          <w:lang w:val="en-US" w:eastAsia="zh-CN"/>
        </w:rPr>
        <w:t>学院党委分管学生工作副书记</w:t>
      </w:r>
      <w:r>
        <w:rPr>
          <w:rFonts w:hint="eastAsia" w:ascii="仿宋" w:hAnsi="仿宋" w:eastAsia="仿宋" w:cs="宋体"/>
          <w:color w:val="auto"/>
          <w:kern w:val="0"/>
          <w:sz w:val="32"/>
          <w:szCs w:val="32"/>
        </w:rPr>
        <w:t>、</w:t>
      </w:r>
      <w:r>
        <w:rPr>
          <w:rFonts w:hint="default" w:ascii="仿宋" w:hAnsi="仿宋" w:eastAsia="仿宋" w:cs="宋体"/>
          <w:color w:val="auto"/>
          <w:kern w:val="0"/>
          <w:sz w:val="32"/>
          <w:szCs w:val="32"/>
        </w:rPr>
        <w:t>教学</w:t>
      </w:r>
      <w:r>
        <w:rPr>
          <w:rFonts w:hint="eastAsia" w:ascii="仿宋" w:hAnsi="仿宋" w:eastAsia="仿宋" w:cs="宋体"/>
          <w:color w:val="auto"/>
          <w:kern w:val="0"/>
          <w:sz w:val="32"/>
          <w:szCs w:val="32"/>
        </w:rPr>
        <w:t>副院长</w:t>
      </w:r>
      <w:r>
        <w:rPr>
          <w:rFonts w:hint="eastAsia" w:ascii="仿宋" w:hAnsi="仿宋" w:eastAsia="仿宋" w:cs="宋体"/>
          <w:color w:val="auto"/>
          <w:kern w:val="0"/>
          <w:sz w:val="32"/>
          <w:szCs w:val="32"/>
          <w:lang w:val="en-US" w:eastAsia="zh-CN"/>
        </w:rPr>
        <w:t>、组员为</w:t>
      </w:r>
      <w:r>
        <w:rPr>
          <w:rFonts w:hint="eastAsia" w:ascii="仿宋" w:hAnsi="仿宋" w:eastAsia="仿宋" w:cs="宋体"/>
          <w:color w:val="auto"/>
          <w:kern w:val="0"/>
          <w:sz w:val="32"/>
          <w:szCs w:val="32"/>
        </w:rPr>
        <w:t>学工办主任</w:t>
      </w:r>
      <w:r>
        <w:rPr>
          <w:rFonts w:hint="eastAsia" w:ascii="仿宋" w:hAnsi="仿宋" w:eastAsia="仿宋" w:cs="宋体"/>
          <w:color w:val="auto"/>
          <w:kern w:val="0"/>
          <w:sz w:val="32"/>
          <w:szCs w:val="32"/>
          <w:lang w:eastAsia="zh-CN"/>
        </w:rPr>
        <w:t>、</w:t>
      </w:r>
      <w:r>
        <w:rPr>
          <w:rFonts w:hint="default" w:ascii="仿宋" w:hAnsi="仿宋" w:eastAsia="仿宋" w:cs="宋体"/>
          <w:color w:val="auto"/>
          <w:kern w:val="0"/>
          <w:sz w:val="32"/>
          <w:szCs w:val="32"/>
          <w:lang w:eastAsia="zh-CN"/>
        </w:rPr>
        <w:t>教务科科长、</w:t>
      </w:r>
      <w:r>
        <w:rPr>
          <w:rFonts w:hint="eastAsia" w:ascii="仿宋" w:hAnsi="仿宋" w:eastAsia="仿宋" w:cs="宋体"/>
          <w:color w:val="auto"/>
          <w:kern w:val="0"/>
          <w:sz w:val="32"/>
          <w:szCs w:val="32"/>
          <w:lang w:val="en-US" w:eastAsia="zh-CN"/>
        </w:rPr>
        <w:t>团委书记</w:t>
      </w:r>
      <w:r>
        <w:rPr>
          <w:rFonts w:hint="eastAsia" w:ascii="仿宋" w:hAnsi="仿宋" w:eastAsia="仿宋" w:cs="宋体"/>
          <w:color w:val="auto"/>
          <w:kern w:val="0"/>
          <w:sz w:val="32"/>
          <w:szCs w:val="32"/>
        </w:rPr>
        <w:t>。学院推免工作小组根据教育部及学校相关规定，负责制定本学院具体的推荐选拔细则并组织实施。</w:t>
      </w:r>
    </w:p>
    <w:p w14:paraId="6F128EC0">
      <w:pPr>
        <w:widowControl/>
        <w:spacing w:line="375" w:lineRule="atLeast"/>
        <w:ind w:firstLine="615"/>
        <w:jc w:val="both"/>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2.学生工作办公室发布推免通知，有申请意向的学生填写《杭州师范大学推荐免试攻读研究生资格申请表》《承诺书》《汇总表》和相关证明材料，在学院规定日期内提交学院。</w:t>
      </w:r>
    </w:p>
    <w:p w14:paraId="13504CAA">
      <w:pPr>
        <w:widowControl/>
        <w:spacing w:line="375" w:lineRule="atLeast"/>
        <w:ind w:firstLine="615"/>
        <w:jc w:val="both"/>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3.</w:t>
      </w:r>
      <w:r>
        <w:rPr>
          <w:rFonts w:hint="eastAsia" w:ascii="仿宋" w:hAnsi="仿宋" w:eastAsia="仿宋" w:cs="宋体"/>
          <w:color w:val="auto"/>
          <w:kern w:val="0"/>
          <w:sz w:val="32"/>
          <w:szCs w:val="32"/>
          <w:lang w:val="en-US" w:eastAsia="zh-CN"/>
        </w:rPr>
        <w:t>学院</w:t>
      </w:r>
      <w:r>
        <w:rPr>
          <w:rFonts w:hint="eastAsia" w:ascii="仿宋" w:hAnsi="仿宋" w:eastAsia="仿宋" w:cs="宋体"/>
          <w:color w:val="auto"/>
          <w:kern w:val="0"/>
          <w:sz w:val="32"/>
          <w:szCs w:val="32"/>
        </w:rPr>
        <w:t>推免工作领导小组汇总申请者信息，根据学校分配的推荐名额，全面审查申请者是否符合条件，并按照学生综合评价成绩排序确定推荐人选，在学院公示3天无异议后将学院推荐名单在学校规定的日期内提交学生处。</w:t>
      </w:r>
    </w:p>
    <w:p w14:paraId="2E028C99">
      <w:pPr>
        <w:widowControl/>
        <w:spacing w:line="375" w:lineRule="atLeast"/>
        <w:ind w:firstLine="645"/>
        <w:jc w:val="both"/>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4.学校推免工作领导小组对学院推荐名单进行复审，教务处负责审核推荐学生的学习成绩和英语水平，学生处负责审核推荐学生的综合评价，领导小组确认审核无误后，将推免名单在学校网站公示。</w:t>
      </w:r>
    </w:p>
    <w:p w14:paraId="1B96971F">
      <w:pPr>
        <w:widowControl/>
        <w:spacing w:line="375" w:lineRule="atLeast"/>
        <w:ind w:firstLine="645"/>
        <w:jc w:val="both"/>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5.“推免生”名单报浙江省教育考试院审核，并向教育部备案。</w:t>
      </w:r>
    </w:p>
    <w:p w14:paraId="4999927A">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获得“推免生”资格的学生在规定时间内自行通过“全国推荐优秀应届本科毕业生免试攻读研究生信息公开暨管理服务系统”进行注册并填报个人资料信息、填报志愿、接收并确认招生单位的复试及待录取通知。</w:t>
      </w:r>
    </w:p>
    <w:p w14:paraId="0104010A">
      <w:pPr>
        <w:widowControl/>
        <w:spacing w:line="375" w:lineRule="atLeast"/>
        <w:ind w:left="615"/>
        <w:jc w:val="both"/>
        <w:rPr>
          <w:rFonts w:hint="eastAsia" w:ascii="黑体" w:hAnsi="黑体" w:eastAsia="黑体" w:cs="宋体"/>
          <w:b/>
          <w:bCs/>
          <w:color w:val="auto"/>
          <w:kern w:val="0"/>
          <w:sz w:val="32"/>
          <w:szCs w:val="32"/>
          <w:lang w:val="en-US" w:eastAsia="zh-CN"/>
        </w:rPr>
      </w:pPr>
      <w:r>
        <w:rPr>
          <w:rFonts w:hint="eastAsia" w:ascii="黑体" w:hAnsi="黑体" w:eastAsia="黑体" w:cs="宋体"/>
          <w:b/>
          <w:bCs/>
          <w:color w:val="auto"/>
          <w:kern w:val="0"/>
          <w:sz w:val="32"/>
          <w:szCs w:val="32"/>
          <w:lang w:val="en-US" w:eastAsia="zh-CN"/>
        </w:rPr>
        <w:t>五、其他</w:t>
      </w:r>
    </w:p>
    <w:p w14:paraId="12B4568E">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申请有特殊学术专长的推免生，在符合推免生基本要求和普通推免生具体条件的基础上，</w:t>
      </w:r>
      <w:r>
        <w:rPr>
          <w:rFonts w:hint="eastAsia" w:ascii="仿宋" w:hAnsi="仿宋" w:eastAsia="仿宋" w:cs="宋体"/>
          <w:color w:val="auto"/>
          <w:kern w:val="0"/>
          <w:sz w:val="32"/>
          <w:szCs w:val="32"/>
          <w:lang w:val="en-US" w:eastAsia="zh-CN"/>
        </w:rPr>
        <w:t>必须是</w:t>
      </w:r>
      <w:r>
        <w:rPr>
          <w:rFonts w:hint="eastAsia" w:ascii="仿宋" w:hAnsi="仿宋" w:eastAsia="仿宋" w:cs="宋体"/>
          <w:color w:val="auto"/>
          <w:kern w:val="0"/>
          <w:sz w:val="32"/>
          <w:szCs w:val="32"/>
        </w:rPr>
        <w:t>获得全国赛一档次奖项的项目核心成员（团队排名前2）、二档次奖项的项目负责人（团队排名第1）</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大学生职业生涯规划大赛中获国赛银奖（或同等级）及以上项目的负责人</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此外，</w:t>
      </w:r>
      <w:r>
        <w:rPr>
          <w:rFonts w:hint="eastAsia" w:ascii="仿宋" w:hAnsi="仿宋" w:eastAsia="仿宋" w:cs="宋体"/>
          <w:color w:val="auto"/>
          <w:kern w:val="0"/>
          <w:sz w:val="32"/>
          <w:szCs w:val="32"/>
        </w:rPr>
        <w:t>获得全国赛一档次奖项的主要项目成员（团队排名前5）、二档次奖项的项目核心成员（团队排名前3），除申请担任辅导员工作推免生外，可认定推免创新能力分数为满分，同等条件下优先获得免试攻读硕士研究生资格。要严格审核认定学生的特殊学术专长。学生与直系亲属或学历、职称、职务明显高于</w:t>
      </w:r>
      <w:r>
        <w:rPr>
          <w:rFonts w:hint="eastAsia" w:ascii="仿宋" w:hAnsi="仿宋" w:eastAsia="仿宋" w:cs="宋体"/>
          <w:color w:val="auto"/>
          <w:kern w:val="0"/>
          <w:sz w:val="32"/>
          <w:szCs w:val="32"/>
          <w:highlight w:val="none"/>
        </w:rPr>
        <w:t>本人</w:t>
      </w:r>
      <w:r>
        <w:rPr>
          <w:rFonts w:hint="eastAsia" w:ascii="仿宋" w:hAnsi="仿宋" w:eastAsia="仿宋" w:cs="宋体"/>
          <w:color w:val="auto"/>
          <w:kern w:val="0"/>
          <w:sz w:val="32"/>
          <w:szCs w:val="32"/>
        </w:rPr>
        <w:t>合作的科研成果、竞赛奖项等仅作为参考，不纳入学生本人推免遴选综合成绩计算体系，同等条件下可优先考虑。</w:t>
      </w:r>
    </w:p>
    <w:p w14:paraId="5E05137F">
      <w:pPr>
        <w:keepNext w:val="0"/>
        <w:keepLines w:val="0"/>
        <w:widowControl/>
        <w:suppressLineNumbers w:val="0"/>
        <w:ind w:firstLine="620" w:firstLineChars="200"/>
        <w:jc w:val="left"/>
        <w:rPr>
          <w:color w:val="auto"/>
        </w:rPr>
      </w:pPr>
      <w:r>
        <w:rPr>
          <w:rFonts w:ascii="仿宋" w:hAnsi="仿宋" w:eastAsia="仿宋" w:cs="仿宋"/>
          <w:color w:val="auto"/>
          <w:kern w:val="0"/>
          <w:sz w:val="31"/>
          <w:szCs w:val="31"/>
          <w:lang w:val="en-US" w:eastAsia="zh-CN" w:bidi="ar"/>
        </w:rPr>
        <w:t xml:space="preserve">全国赛一档次奖项含创新大赛主赛道、红旅赛道、产业赛 </w:t>
      </w:r>
    </w:p>
    <w:p w14:paraId="5D12CAA9">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道金奖，大挑主体赛、“揭榜挂帅”专项赛特等奖，小挑金奖。 </w:t>
      </w:r>
    </w:p>
    <w:p w14:paraId="1E762F43">
      <w:pPr>
        <w:keepNext w:val="0"/>
        <w:keepLines w:val="0"/>
        <w:widowControl/>
        <w:suppressLineNumbers w:val="0"/>
        <w:ind w:firstLine="620" w:firstLineChars="200"/>
        <w:jc w:val="left"/>
        <w:rPr>
          <w:color w:val="auto"/>
        </w:rPr>
      </w:pPr>
      <w:r>
        <w:rPr>
          <w:rFonts w:hint="eastAsia" w:ascii="仿宋" w:hAnsi="仿宋" w:eastAsia="仿宋" w:cs="仿宋"/>
          <w:color w:val="auto"/>
          <w:kern w:val="0"/>
          <w:sz w:val="31"/>
          <w:szCs w:val="31"/>
          <w:lang w:val="en-US" w:eastAsia="zh-CN" w:bidi="ar"/>
        </w:rPr>
        <w:t xml:space="preserve">全国赛二档次一层次奖项含大挑主体赛、“揭榜挂帅”专项赛一等奖。二层次奖项含创新大赛主赛道、红旅赛道、产业赛道银奖，港澳台、国际项目金奖；大挑主体赛、“揭榜挂帅”专项赛二等奖，红色、黑科技专项赛一等奖及以上；小挑银奖。 </w:t>
      </w:r>
    </w:p>
    <w:p w14:paraId="10EED1DE">
      <w:pPr>
        <w:keepNext w:val="0"/>
        <w:keepLines w:val="0"/>
        <w:widowControl/>
        <w:suppressLineNumbers w:val="0"/>
        <w:ind w:firstLine="620" w:firstLineChars="200"/>
        <w:jc w:val="left"/>
        <w:rPr>
          <w:color w:val="auto"/>
        </w:rPr>
      </w:pPr>
      <w:r>
        <w:rPr>
          <w:rFonts w:hint="eastAsia" w:ascii="仿宋" w:hAnsi="仿宋" w:eastAsia="仿宋" w:cs="仿宋"/>
          <w:color w:val="auto"/>
          <w:kern w:val="0"/>
          <w:sz w:val="31"/>
          <w:szCs w:val="31"/>
          <w:lang w:val="en-US" w:eastAsia="zh-CN" w:bidi="ar"/>
        </w:rPr>
        <w:t xml:space="preserve">全国赛三档次奖项含创新大赛主赛道、红旅赛道、产业赛 </w:t>
      </w:r>
    </w:p>
    <w:p w14:paraId="59159CB6">
      <w:pPr>
        <w:keepNext w:val="0"/>
        <w:keepLines w:val="0"/>
        <w:widowControl/>
        <w:suppressLineNumbers w:val="0"/>
        <w:jc w:val="left"/>
        <w:rPr>
          <w:rFonts w:hint="eastAsia" w:ascii="仿宋" w:hAnsi="仿宋" w:eastAsia="仿宋" w:cs="宋体"/>
          <w:color w:val="auto"/>
          <w:kern w:val="0"/>
          <w:sz w:val="32"/>
          <w:szCs w:val="32"/>
        </w:rPr>
      </w:pPr>
      <w:r>
        <w:rPr>
          <w:rFonts w:hint="eastAsia" w:ascii="仿宋" w:hAnsi="仿宋" w:eastAsia="仿宋" w:cs="仿宋"/>
          <w:color w:val="auto"/>
          <w:kern w:val="0"/>
          <w:sz w:val="31"/>
          <w:szCs w:val="31"/>
          <w:lang w:val="en-US" w:eastAsia="zh-CN" w:bidi="ar"/>
        </w:rPr>
        <w:t>道铜奖，港澳台、国际项目银奖；大挑主体赛、“揭榜挂帅”专项赛三等奖，红色、黑科技专项赛二等奖；小挑铜奖。</w:t>
      </w:r>
      <w:r>
        <w:rPr>
          <w:rFonts w:hint="eastAsia" w:ascii="仿宋" w:hAnsi="仿宋" w:eastAsia="仿宋" w:cs="仿宋"/>
          <w:color w:val="auto"/>
          <w:kern w:val="0"/>
          <w:sz w:val="31"/>
          <w:szCs w:val="31"/>
          <w:lang w:val="en-US" w:eastAsia="zh-CN" w:bidi="ar"/>
        </w:rPr>
        <w:t xml:space="preserve"> </w:t>
      </w:r>
    </w:p>
    <w:p w14:paraId="4541E324">
      <w:pPr>
        <w:widowControl/>
        <w:spacing w:line="375" w:lineRule="atLeast"/>
        <w:ind w:firstLine="645"/>
        <w:jc w:val="both"/>
        <w:rPr>
          <w:rFonts w:hint="eastAsia" w:ascii="仿宋" w:hAnsi="仿宋" w:eastAsia="仿宋" w:cs="宋体"/>
          <w:color w:val="auto"/>
          <w:kern w:val="0"/>
          <w:sz w:val="32"/>
          <w:szCs w:val="32"/>
        </w:rPr>
      </w:pPr>
      <w:r>
        <w:rPr>
          <w:rFonts w:hint="default" w:ascii="仿宋" w:hAnsi="仿宋" w:eastAsia="仿宋" w:cs="宋体"/>
          <w:color w:val="auto"/>
          <w:kern w:val="0"/>
          <w:sz w:val="32"/>
          <w:szCs w:val="32"/>
          <w:lang w:eastAsia="zh-CN"/>
        </w:rPr>
        <w:t>2</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在规定截止时间内，获得推免资格的学生仍未落实接收单位的，推免资格即失效。</w:t>
      </w:r>
    </w:p>
    <w:p w14:paraId="041B933A">
      <w:pPr>
        <w:widowControl/>
        <w:spacing w:line="375" w:lineRule="atLeast"/>
        <w:ind w:firstLine="645"/>
        <w:jc w:val="both"/>
        <w:rPr>
          <w:rFonts w:hint="eastAsia" w:ascii="仿宋" w:hAnsi="仿宋" w:eastAsia="仿宋" w:cs="宋体"/>
          <w:color w:val="auto"/>
          <w:kern w:val="0"/>
          <w:sz w:val="32"/>
          <w:szCs w:val="32"/>
        </w:rPr>
      </w:pPr>
      <w:r>
        <w:rPr>
          <w:rFonts w:hint="default" w:ascii="仿宋" w:hAnsi="仿宋" w:eastAsia="仿宋" w:cs="宋体"/>
          <w:color w:val="auto"/>
          <w:kern w:val="0"/>
          <w:sz w:val="32"/>
          <w:szCs w:val="32"/>
          <w:lang w:eastAsia="zh-CN"/>
        </w:rPr>
        <w:t>3</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推免生出现下列情况之一的，取消推免资格：</w:t>
      </w:r>
    </w:p>
    <w:p w14:paraId="5FA15407">
      <w:pPr>
        <w:widowControl/>
        <w:spacing w:line="375" w:lineRule="atLeast"/>
        <w:ind w:firstLine="645"/>
        <w:jc w:val="both"/>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lang w:eastAsia="zh-CN"/>
        </w:rPr>
        <w:t>）在申请推免生过程中发现有弄虚作假行为的；</w:t>
      </w:r>
    </w:p>
    <w:p w14:paraId="786FE9B9">
      <w:pPr>
        <w:widowControl/>
        <w:spacing w:line="375" w:lineRule="atLeast"/>
        <w:ind w:firstLine="645"/>
        <w:jc w:val="both"/>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lang w:eastAsia="zh-CN"/>
        </w:rPr>
        <w:t>）在毕业前违反校纪校规，受到学校纪律处分的；</w:t>
      </w:r>
    </w:p>
    <w:p w14:paraId="194F9F97">
      <w:pPr>
        <w:widowControl/>
        <w:spacing w:line="375" w:lineRule="atLeast"/>
        <w:ind w:firstLine="645"/>
        <w:jc w:val="both"/>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lang w:eastAsia="zh-CN"/>
        </w:rPr>
        <w:t>）毕业时未能获得本科毕业证书或学士学位的。</w:t>
      </w:r>
    </w:p>
    <w:p w14:paraId="5197F5AA">
      <w:pPr>
        <w:widowControl/>
        <w:spacing w:line="375" w:lineRule="atLeast"/>
        <w:ind w:firstLine="645"/>
        <w:jc w:val="both"/>
        <w:rPr>
          <w:rFonts w:hint="eastAsia" w:ascii="仿宋" w:hAnsi="仿宋" w:eastAsia="仿宋" w:cs="宋体"/>
          <w:color w:val="auto"/>
          <w:kern w:val="0"/>
          <w:sz w:val="32"/>
          <w:szCs w:val="32"/>
        </w:rPr>
      </w:pPr>
      <w:r>
        <w:rPr>
          <w:rFonts w:hint="default" w:ascii="仿宋" w:hAnsi="仿宋" w:eastAsia="仿宋" w:cs="宋体"/>
          <w:color w:val="auto"/>
          <w:kern w:val="0"/>
          <w:sz w:val="32"/>
          <w:szCs w:val="32"/>
          <w:lang w:eastAsia="zh-CN"/>
        </w:rPr>
        <w:t>4</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被录取为硕师计划研究生的学生，作为编制内正式教师到服务地区县镇及以下农村学校任教3年，并在职学习研究生课程。任教3年期满，经考核合格，第四年到培养学校脱产集中学习1年，毕业时获得硕士研究生学历证书和教育硕士专业学位证书。学生在与各级教育行政部门签订《浙江省硕师计划教师聘用合同》时，要明确服务期（原则上应为3年及以上）。服务期满后可以继续聘用或不再聘用，也可以在任教3年时根据考核情况再明确是否续聘。凡签订续聘协议的硕师计划研究生，第四年脱产学习享受在职教师进修待遇，毕业后回原单位工作。不再续聘的，第四年脱产学习享受全日制研究生同等待遇，毕业后面向社会自主择业。被录取的硕师计划研究生，应于毕业当年度7月31日前按规定到任教学校所在地教育行政部门办理报到手续。</w:t>
      </w:r>
    </w:p>
    <w:p w14:paraId="4D781B24">
      <w:pPr>
        <w:widowControl/>
        <w:spacing w:line="375" w:lineRule="atLeast"/>
        <w:ind w:left="615"/>
        <w:jc w:val="both"/>
        <w:rPr>
          <w:rFonts w:hint="eastAsia" w:ascii="黑体" w:hAnsi="黑体" w:eastAsia="黑体" w:cs="宋体"/>
          <w:b/>
          <w:bCs/>
          <w:color w:val="auto"/>
          <w:kern w:val="0"/>
          <w:sz w:val="32"/>
          <w:szCs w:val="32"/>
          <w:lang w:val="en-US" w:eastAsia="zh-CN"/>
        </w:rPr>
      </w:pPr>
      <w:r>
        <w:rPr>
          <w:rFonts w:hint="eastAsia" w:ascii="黑体" w:hAnsi="黑体" w:eastAsia="黑体" w:cs="宋体"/>
          <w:b/>
          <w:bCs/>
          <w:color w:val="auto"/>
          <w:kern w:val="0"/>
          <w:sz w:val="32"/>
          <w:szCs w:val="32"/>
          <w:lang w:val="en-US" w:eastAsia="zh-CN"/>
        </w:rPr>
        <w:t>六、附则</w:t>
      </w:r>
    </w:p>
    <w:p w14:paraId="689A0A0B">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本办法由</w:t>
      </w:r>
      <w:r>
        <w:rPr>
          <w:rFonts w:hint="eastAsia" w:ascii="仿宋" w:hAnsi="仿宋" w:eastAsia="仿宋" w:cs="宋体"/>
          <w:color w:val="auto"/>
          <w:kern w:val="0"/>
          <w:sz w:val="32"/>
          <w:szCs w:val="32"/>
          <w:lang w:val="en-US" w:eastAsia="zh-CN"/>
        </w:rPr>
        <w:t>学院</w:t>
      </w:r>
      <w:r>
        <w:rPr>
          <w:rFonts w:hint="eastAsia" w:ascii="仿宋" w:hAnsi="仿宋" w:eastAsia="仿宋" w:cs="宋体"/>
          <w:color w:val="auto"/>
          <w:kern w:val="0"/>
          <w:sz w:val="32"/>
          <w:szCs w:val="32"/>
        </w:rPr>
        <w:t>学</w:t>
      </w:r>
      <w:r>
        <w:rPr>
          <w:rFonts w:hint="eastAsia" w:ascii="仿宋" w:hAnsi="仿宋" w:eastAsia="仿宋" w:cs="宋体"/>
          <w:color w:val="auto"/>
          <w:kern w:val="0"/>
          <w:sz w:val="32"/>
          <w:szCs w:val="32"/>
          <w:lang w:val="en-US" w:eastAsia="zh-CN"/>
        </w:rPr>
        <w:t>工办</w:t>
      </w:r>
      <w:r>
        <w:rPr>
          <w:rFonts w:hint="eastAsia" w:ascii="仿宋" w:hAnsi="仿宋" w:eastAsia="仿宋" w:cs="宋体"/>
          <w:color w:val="auto"/>
          <w:kern w:val="0"/>
          <w:sz w:val="32"/>
          <w:szCs w:val="32"/>
        </w:rPr>
        <w:t>负责解释。未尽事宜，由学</w:t>
      </w:r>
      <w:r>
        <w:rPr>
          <w:rFonts w:hint="eastAsia" w:ascii="仿宋" w:hAnsi="仿宋" w:eastAsia="仿宋" w:cs="宋体"/>
          <w:color w:val="auto"/>
          <w:kern w:val="0"/>
          <w:sz w:val="32"/>
          <w:szCs w:val="32"/>
          <w:lang w:val="en-US" w:eastAsia="zh-CN"/>
        </w:rPr>
        <w:t>院</w:t>
      </w:r>
      <w:r>
        <w:rPr>
          <w:rFonts w:hint="eastAsia" w:ascii="仿宋" w:hAnsi="仿宋" w:eastAsia="仿宋" w:cs="宋体"/>
          <w:color w:val="auto"/>
          <w:kern w:val="0"/>
          <w:sz w:val="32"/>
          <w:szCs w:val="32"/>
        </w:rPr>
        <w:t>推免工作领导小组研究决定。</w:t>
      </w:r>
    </w:p>
    <w:p w14:paraId="2B4FED3B">
      <w:pPr>
        <w:widowControl/>
        <w:spacing w:line="375" w:lineRule="atLeast"/>
        <w:ind w:firstLine="645"/>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2.本办法自印发之日起施行，与上级文件不一致的，以上级文件为准。原《</w:t>
      </w:r>
      <w:r>
        <w:rPr>
          <w:rFonts w:hint="default" w:ascii="仿宋" w:hAnsi="仿宋" w:eastAsia="仿宋" w:cs="宋体"/>
          <w:color w:val="auto"/>
          <w:kern w:val="0"/>
          <w:sz w:val="32"/>
          <w:szCs w:val="32"/>
          <w:lang w:val="en-US" w:eastAsia="zh-CN"/>
        </w:rPr>
        <w:t>人文学院</w:t>
      </w:r>
      <w:r>
        <w:rPr>
          <w:rFonts w:hint="eastAsia" w:ascii="仿宋" w:hAnsi="仿宋" w:eastAsia="仿宋" w:cs="宋体"/>
          <w:color w:val="auto"/>
          <w:kern w:val="0"/>
          <w:sz w:val="32"/>
          <w:szCs w:val="32"/>
          <w:lang w:val="en-US" w:eastAsia="zh-CN"/>
        </w:rPr>
        <w:t xml:space="preserve">推荐优秀应届本科毕业生免试攻读研究生工作实施办法》同时废止。      </w:t>
      </w:r>
    </w:p>
    <w:p w14:paraId="7606EFA6">
      <w:pPr>
        <w:keepNext w:val="0"/>
        <w:keepLines w:val="0"/>
        <w:pageBreakBefore w:val="0"/>
        <w:widowControl/>
        <w:kinsoku/>
        <w:wordWrap/>
        <w:overflowPunct/>
        <w:topLinePunct w:val="0"/>
        <w:autoSpaceDE/>
        <w:autoSpaceDN/>
        <w:bidi w:val="0"/>
        <w:adjustRightInd/>
        <w:snapToGrid/>
        <w:spacing w:line="375" w:lineRule="atLeast"/>
        <w:ind w:firstLine="1134"/>
        <w:jc w:val="both"/>
        <w:textAlignment w:val="auto"/>
        <w:rPr>
          <w:rFonts w:hint="eastAsia" w:ascii="宋体" w:hAnsi="宋体" w:eastAsia="宋体" w:cs="宋体"/>
          <w:color w:val="auto"/>
          <w:kern w:val="0"/>
          <w:sz w:val="32"/>
          <w:szCs w:val="32"/>
        </w:rPr>
      </w:pPr>
      <w:r>
        <w:rPr>
          <w:rFonts w:hint="eastAsia" w:ascii="仿宋" w:hAnsi="仿宋" w:eastAsia="仿宋" w:cs="宋体"/>
          <w:color w:val="auto"/>
          <w:kern w:val="0"/>
          <w:sz w:val="32"/>
          <w:szCs w:val="32"/>
          <w:lang w:val="en-US" w:eastAsia="zh-CN"/>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p>
    <w:p w14:paraId="6FF44E3A">
      <w:pPr>
        <w:widowControl/>
        <w:spacing w:line="375" w:lineRule="atLeast"/>
        <w:ind w:left="615"/>
        <w:jc w:val="right"/>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杭州师范大学人文学院</w:t>
      </w:r>
    </w:p>
    <w:p w14:paraId="3EEE2A2F">
      <w:pPr>
        <w:widowControl/>
        <w:spacing w:line="375" w:lineRule="atLeast"/>
        <w:ind w:left="615"/>
        <w:jc w:val="right"/>
        <w:rPr>
          <w:rFonts w:hint="eastAsia" w:ascii="微软雅黑" w:hAnsi="微软雅黑" w:eastAsia="微软雅黑" w:cs="宋体"/>
          <w:color w:val="auto"/>
          <w:kern w:val="0"/>
          <w:sz w:val="24"/>
          <w:szCs w:val="24"/>
        </w:rPr>
      </w:pP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7</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18</w:t>
      </w:r>
      <w:r>
        <w:rPr>
          <w:rFonts w:hint="eastAsia" w:ascii="仿宋" w:hAnsi="仿宋" w:eastAsia="仿宋" w:cs="宋体"/>
          <w:color w:val="auto"/>
          <w:kern w:val="0"/>
          <w:sz w:val="32"/>
          <w:szCs w:val="32"/>
        </w:rPr>
        <w:t>日</w:t>
      </w:r>
    </w:p>
    <w:p w14:paraId="49223252">
      <w:pPr>
        <w:jc w:val="right"/>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05DE04-0650-40F8-A295-918D470963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FDB4331D-4BDF-40C0-834F-3CB1D0F07F05}"/>
  </w:font>
  <w:font w:name="方正小标宋简体">
    <w:panose1 w:val="02000000000000000000"/>
    <w:charset w:val="86"/>
    <w:family w:val="roman"/>
    <w:pitch w:val="default"/>
    <w:sig w:usb0="00000001" w:usb1="08000000" w:usb2="00000000" w:usb3="00000000" w:csb0="00040000" w:csb1="00000000"/>
    <w:embedRegular r:id="rId3" w:fontKey="{135E7B74-3AC1-43BD-926E-CF00E9E12854}"/>
  </w:font>
  <w:font w:name="仿宋">
    <w:panose1 w:val="02010609060101010101"/>
    <w:charset w:val="86"/>
    <w:family w:val="modern"/>
    <w:pitch w:val="default"/>
    <w:sig w:usb0="800002BF" w:usb1="38CF7CFA" w:usb2="00000016" w:usb3="00000000" w:csb0="00040001" w:csb1="00000000"/>
    <w:embedRegular r:id="rId4" w:fontKey="{AEB6B0D9-6A89-41EA-A339-CE8401B8CFCF}"/>
  </w:font>
  <w:font w:name="楷体">
    <w:panose1 w:val="02010609060101010101"/>
    <w:charset w:val="86"/>
    <w:family w:val="auto"/>
    <w:pitch w:val="default"/>
    <w:sig w:usb0="800002BF" w:usb1="38CF7CFA" w:usb2="00000016" w:usb3="00000000" w:csb0="00040001" w:csb1="00000000"/>
    <w:embedRegular r:id="rId5" w:fontKey="{37C561AF-DA31-484F-BAA4-BC3B589F4C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3B6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6012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96012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F8D2F"/>
    <w:multiLevelType w:val="singleLevel"/>
    <w:tmpl w:val="BCEF8D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YjhmNzMyMjI1NjMzZTgxODNjOWRkYzdjZTNiNDgifQ=="/>
  </w:docVars>
  <w:rsids>
    <w:rsidRoot w:val="002D1154"/>
    <w:rsid w:val="00072CDB"/>
    <w:rsid w:val="001638B0"/>
    <w:rsid w:val="001B6766"/>
    <w:rsid w:val="002611E8"/>
    <w:rsid w:val="002D1154"/>
    <w:rsid w:val="006112AA"/>
    <w:rsid w:val="009768A9"/>
    <w:rsid w:val="00C54C0A"/>
    <w:rsid w:val="021312B9"/>
    <w:rsid w:val="03476EB8"/>
    <w:rsid w:val="1044067B"/>
    <w:rsid w:val="10575605"/>
    <w:rsid w:val="28935310"/>
    <w:rsid w:val="336855C9"/>
    <w:rsid w:val="3A09588B"/>
    <w:rsid w:val="4BD023EF"/>
    <w:rsid w:val="4F691207"/>
    <w:rsid w:val="50BC3FFA"/>
    <w:rsid w:val="54A976C9"/>
    <w:rsid w:val="56560B58"/>
    <w:rsid w:val="5C66260B"/>
    <w:rsid w:val="5F0B2C84"/>
    <w:rsid w:val="608C4857"/>
    <w:rsid w:val="634149DA"/>
    <w:rsid w:val="64D94D23"/>
    <w:rsid w:val="669B4CCB"/>
    <w:rsid w:val="6D1042D4"/>
    <w:rsid w:val="72D207B1"/>
    <w:rsid w:val="7DFA2E6D"/>
    <w:rsid w:val="CEB3CD4D"/>
    <w:rsid w:val="F2FDA538"/>
    <w:rsid w:val="FBDFB6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标题 3 Char"/>
    <w:basedOn w:val="7"/>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4027</Words>
  <Characters>4149</Characters>
  <Lines>1</Lines>
  <Paragraphs>1</Paragraphs>
  <TotalTime>312</TotalTime>
  <ScaleCrop>false</ScaleCrop>
  <LinksUpToDate>false</LinksUpToDate>
  <CharactersWithSpaces>4211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2021-10-28T14:19:00Z</dcterms:created>
  <dc:creator>admin</dc:creator>
  <cp:lastModifiedBy>grace</cp:lastModifiedBy>
  <dcterms:modified xsi:type="dcterms:W3CDTF">2024-07-19T03:51:53Z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E9DCA90CA7584B00AC2313A3D0BCAF54_13</vt:lpwstr>
  </property>
</Properties>
</file>